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0414E" w14:textId="77777777" w:rsidR="00423850" w:rsidRPr="00834BB9" w:rsidRDefault="00423850" w:rsidP="00834BB9">
      <w:pPr>
        <w:autoSpaceDE w:val="0"/>
        <w:autoSpaceDN w:val="0"/>
        <w:adjustRightInd w:val="0"/>
        <w:spacing w:after="0" w:line="276" w:lineRule="auto"/>
        <w:jc w:val="center"/>
        <w:rPr>
          <w:rFonts w:ascii="Times New Roman" w:hAnsi="Times New Roman" w:cs="Times New Roman"/>
          <w:b/>
          <w:bCs/>
          <w:sz w:val="24"/>
          <w:szCs w:val="24"/>
          <w:u w:val="single"/>
        </w:rPr>
      </w:pPr>
      <w:r w:rsidRPr="00834BB9">
        <w:rPr>
          <w:rFonts w:ascii="Times New Roman" w:hAnsi="Times New Roman" w:cs="Times New Roman"/>
          <w:b/>
          <w:bCs/>
          <w:sz w:val="24"/>
          <w:szCs w:val="24"/>
          <w:u w:val="single"/>
        </w:rPr>
        <w:t>National Health Systems Resource Centre NIHFW Campus, Baba Gang Nath Marg,</w:t>
      </w:r>
    </w:p>
    <w:p w14:paraId="7C260B39" w14:textId="6673652D" w:rsidR="00423850" w:rsidRPr="00834BB9" w:rsidRDefault="00423850" w:rsidP="00834BB9">
      <w:pPr>
        <w:autoSpaceDE w:val="0"/>
        <w:autoSpaceDN w:val="0"/>
        <w:adjustRightInd w:val="0"/>
        <w:spacing w:after="0" w:line="276" w:lineRule="auto"/>
        <w:jc w:val="center"/>
        <w:rPr>
          <w:rFonts w:ascii="Times New Roman" w:hAnsi="Times New Roman" w:cs="Times New Roman"/>
          <w:b/>
          <w:bCs/>
          <w:sz w:val="24"/>
          <w:szCs w:val="24"/>
          <w:u w:val="single"/>
        </w:rPr>
      </w:pPr>
      <w:r w:rsidRPr="00834BB9">
        <w:rPr>
          <w:rFonts w:ascii="Times New Roman" w:hAnsi="Times New Roman" w:cs="Times New Roman"/>
          <w:b/>
          <w:bCs/>
          <w:sz w:val="24"/>
          <w:szCs w:val="24"/>
          <w:u w:val="single"/>
        </w:rPr>
        <w:t>Munirka</w:t>
      </w:r>
      <w:r w:rsidR="00B814B4">
        <w:rPr>
          <w:rFonts w:ascii="Times New Roman" w:hAnsi="Times New Roman" w:cs="Times New Roman"/>
          <w:b/>
          <w:bCs/>
          <w:sz w:val="24"/>
          <w:szCs w:val="24"/>
          <w:u w:val="single"/>
        </w:rPr>
        <w:t xml:space="preserve">, </w:t>
      </w:r>
      <w:r w:rsidRPr="00834BB9">
        <w:rPr>
          <w:rFonts w:ascii="Times New Roman" w:hAnsi="Times New Roman" w:cs="Times New Roman"/>
          <w:b/>
          <w:bCs/>
          <w:sz w:val="24"/>
          <w:szCs w:val="24"/>
          <w:u w:val="single"/>
        </w:rPr>
        <w:t>New Delhi – 110067</w:t>
      </w:r>
    </w:p>
    <w:p w14:paraId="05E05B9B" w14:textId="0B26EC74" w:rsidR="00423850" w:rsidRPr="00147A08" w:rsidRDefault="00423850" w:rsidP="00147A08">
      <w:pPr>
        <w:autoSpaceDE w:val="0"/>
        <w:autoSpaceDN w:val="0"/>
        <w:adjustRightInd w:val="0"/>
        <w:spacing w:after="0" w:line="276" w:lineRule="auto"/>
        <w:jc w:val="both"/>
        <w:rPr>
          <w:rFonts w:ascii="Times New Roman" w:hAnsi="Times New Roman" w:cs="Times New Roman"/>
          <w:sz w:val="24"/>
          <w:szCs w:val="24"/>
        </w:rPr>
      </w:pPr>
    </w:p>
    <w:p w14:paraId="4263D39E" w14:textId="397570A6" w:rsidR="001B4E73" w:rsidRDefault="0001481C" w:rsidP="00147A0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 </w:t>
      </w:r>
      <w:r w:rsidR="008A0070" w:rsidRPr="00147A08">
        <w:rPr>
          <w:rFonts w:ascii="Times New Roman" w:hAnsi="Times New Roman" w:cs="Times New Roman"/>
          <w:sz w:val="24"/>
          <w:szCs w:val="24"/>
          <w:u w:val="single"/>
        </w:rPr>
        <w:t>Objective</w:t>
      </w:r>
    </w:p>
    <w:p w14:paraId="3937AAE9" w14:textId="77777777" w:rsidR="00AA6C66" w:rsidRDefault="004B3686" w:rsidP="00147A08">
      <w:pPr>
        <w:autoSpaceDE w:val="0"/>
        <w:autoSpaceDN w:val="0"/>
        <w:adjustRightInd w:val="0"/>
        <w:spacing w:after="0" w:line="276" w:lineRule="auto"/>
        <w:jc w:val="both"/>
        <w:rPr>
          <w:rFonts w:ascii="Times New Roman" w:hAnsi="Times New Roman" w:cs="Times New Roman"/>
          <w:sz w:val="24"/>
          <w:szCs w:val="24"/>
        </w:rPr>
      </w:pPr>
      <w:r w:rsidRPr="00147A08">
        <w:rPr>
          <w:rFonts w:ascii="Times New Roman" w:hAnsi="Times New Roman" w:cs="Times New Roman"/>
          <w:sz w:val="24"/>
          <w:szCs w:val="24"/>
        </w:rPr>
        <w:t>I</w:t>
      </w:r>
      <w:r w:rsidR="008A0070" w:rsidRPr="00147A08">
        <w:rPr>
          <w:rFonts w:ascii="Times New Roman" w:hAnsi="Times New Roman" w:cs="Times New Roman"/>
          <w:sz w:val="24"/>
          <w:szCs w:val="24"/>
        </w:rPr>
        <w:t xml:space="preserve">nviting Expressions of Interest (EoI) for empanelling (1) Individual Consultants, and </w:t>
      </w:r>
    </w:p>
    <w:p w14:paraId="50943B00" w14:textId="4BC49CC5" w:rsidR="00B641A4" w:rsidRDefault="008A0070" w:rsidP="00147A08">
      <w:pPr>
        <w:autoSpaceDE w:val="0"/>
        <w:autoSpaceDN w:val="0"/>
        <w:adjustRightInd w:val="0"/>
        <w:spacing w:after="0" w:line="276" w:lineRule="auto"/>
        <w:jc w:val="both"/>
        <w:rPr>
          <w:rFonts w:ascii="Times New Roman" w:hAnsi="Times New Roman" w:cs="Times New Roman"/>
          <w:sz w:val="24"/>
          <w:szCs w:val="24"/>
        </w:rPr>
      </w:pPr>
      <w:r w:rsidRPr="00147A08">
        <w:rPr>
          <w:rFonts w:ascii="Times New Roman" w:hAnsi="Times New Roman" w:cs="Times New Roman"/>
          <w:sz w:val="24"/>
          <w:szCs w:val="24"/>
        </w:rPr>
        <w:t xml:space="preserve">(2) Organizations </w:t>
      </w:r>
      <w:r w:rsidR="002A5BD4" w:rsidRPr="00147A08">
        <w:rPr>
          <w:rFonts w:ascii="Times New Roman" w:hAnsi="Times New Roman" w:cs="Times New Roman"/>
          <w:sz w:val="24"/>
          <w:szCs w:val="24"/>
        </w:rPr>
        <w:t>(public,</w:t>
      </w:r>
      <w:r w:rsidR="00AC1195" w:rsidRPr="00147A08">
        <w:rPr>
          <w:rFonts w:ascii="Times New Roman" w:hAnsi="Times New Roman" w:cs="Times New Roman"/>
          <w:sz w:val="24"/>
          <w:szCs w:val="24"/>
        </w:rPr>
        <w:t xml:space="preserve"> </w:t>
      </w:r>
      <w:r w:rsidR="002A5BD4" w:rsidRPr="00147A08">
        <w:rPr>
          <w:rFonts w:ascii="Times New Roman" w:hAnsi="Times New Roman" w:cs="Times New Roman"/>
          <w:sz w:val="24"/>
          <w:szCs w:val="24"/>
        </w:rPr>
        <w:t xml:space="preserve">private and not-for-profit) </w:t>
      </w:r>
      <w:r w:rsidRPr="00147A08">
        <w:rPr>
          <w:rFonts w:ascii="Times New Roman" w:hAnsi="Times New Roman" w:cs="Times New Roman"/>
          <w:sz w:val="24"/>
          <w:szCs w:val="24"/>
        </w:rPr>
        <w:t xml:space="preserve">for </w:t>
      </w:r>
      <w:r w:rsidR="00B641A4">
        <w:rPr>
          <w:rFonts w:ascii="Times New Roman" w:hAnsi="Times New Roman" w:cs="Times New Roman"/>
          <w:sz w:val="24"/>
          <w:szCs w:val="24"/>
        </w:rPr>
        <w:t>any or all of the following</w:t>
      </w:r>
      <w:r w:rsidR="00C07953">
        <w:rPr>
          <w:rFonts w:ascii="Times New Roman" w:hAnsi="Times New Roman" w:cs="Times New Roman"/>
          <w:sz w:val="24"/>
          <w:szCs w:val="24"/>
        </w:rPr>
        <w:t xml:space="preserve"> activities</w:t>
      </w:r>
      <w:r w:rsidR="00B641A4">
        <w:rPr>
          <w:rFonts w:ascii="Times New Roman" w:hAnsi="Times New Roman" w:cs="Times New Roman"/>
          <w:sz w:val="24"/>
          <w:szCs w:val="24"/>
        </w:rPr>
        <w:t>,</w:t>
      </w:r>
    </w:p>
    <w:p w14:paraId="2E54CC72" w14:textId="77777777" w:rsidR="00B641A4" w:rsidRDefault="008A0070" w:rsidP="00F11ED3">
      <w:pPr>
        <w:autoSpaceDE w:val="0"/>
        <w:autoSpaceDN w:val="0"/>
        <w:adjustRightInd w:val="0"/>
        <w:spacing w:after="0" w:line="276" w:lineRule="auto"/>
        <w:ind w:left="720"/>
        <w:jc w:val="both"/>
        <w:rPr>
          <w:rFonts w:ascii="Times New Roman" w:hAnsi="Times New Roman" w:cs="Times New Roman"/>
          <w:sz w:val="24"/>
          <w:szCs w:val="24"/>
        </w:rPr>
      </w:pPr>
      <w:r w:rsidRPr="00147A08">
        <w:rPr>
          <w:rFonts w:ascii="Times New Roman" w:hAnsi="Times New Roman" w:cs="Times New Roman"/>
          <w:sz w:val="24"/>
          <w:szCs w:val="24"/>
        </w:rPr>
        <w:t xml:space="preserve">(a) conducting studies, reviews, rapid assessments, evaluations and operational research </w:t>
      </w:r>
    </w:p>
    <w:p w14:paraId="26063285" w14:textId="77777777" w:rsidR="00B641A4" w:rsidRDefault="008A0070" w:rsidP="00F11ED3">
      <w:pPr>
        <w:autoSpaceDE w:val="0"/>
        <w:autoSpaceDN w:val="0"/>
        <w:adjustRightInd w:val="0"/>
        <w:spacing w:after="0" w:line="276" w:lineRule="auto"/>
        <w:ind w:left="720"/>
        <w:jc w:val="both"/>
        <w:rPr>
          <w:rFonts w:ascii="Times New Roman" w:hAnsi="Times New Roman" w:cs="Times New Roman"/>
          <w:sz w:val="24"/>
          <w:szCs w:val="24"/>
        </w:rPr>
      </w:pPr>
      <w:r w:rsidRPr="00147A08">
        <w:rPr>
          <w:rFonts w:ascii="Times New Roman" w:hAnsi="Times New Roman" w:cs="Times New Roman"/>
          <w:sz w:val="24"/>
          <w:szCs w:val="24"/>
        </w:rPr>
        <w:t>(b) training &amp; capacity building</w:t>
      </w:r>
      <w:r w:rsidR="0044599F" w:rsidRPr="00147A08">
        <w:rPr>
          <w:rFonts w:ascii="Times New Roman" w:hAnsi="Times New Roman" w:cs="Times New Roman"/>
          <w:sz w:val="24"/>
          <w:szCs w:val="24"/>
        </w:rPr>
        <w:t xml:space="preserve"> </w:t>
      </w:r>
    </w:p>
    <w:p w14:paraId="7A1D8408" w14:textId="17352488" w:rsidR="00B641A4" w:rsidRDefault="00AC1195" w:rsidP="00F11ED3">
      <w:pPr>
        <w:autoSpaceDE w:val="0"/>
        <w:autoSpaceDN w:val="0"/>
        <w:adjustRightInd w:val="0"/>
        <w:spacing w:after="0" w:line="276" w:lineRule="auto"/>
        <w:ind w:left="720"/>
        <w:jc w:val="both"/>
        <w:rPr>
          <w:rFonts w:ascii="Times New Roman" w:hAnsi="Times New Roman" w:cs="Times New Roman"/>
          <w:sz w:val="24"/>
          <w:szCs w:val="24"/>
        </w:rPr>
      </w:pPr>
      <w:r w:rsidRPr="00147A08">
        <w:rPr>
          <w:rFonts w:ascii="Times New Roman" w:hAnsi="Times New Roman" w:cs="Times New Roman"/>
          <w:sz w:val="24"/>
          <w:szCs w:val="24"/>
        </w:rPr>
        <w:t>(</w:t>
      </w:r>
      <w:r w:rsidR="00B641A4">
        <w:rPr>
          <w:rFonts w:ascii="Times New Roman" w:hAnsi="Times New Roman" w:cs="Times New Roman"/>
          <w:sz w:val="24"/>
          <w:szCs w:val="24"/>
        </w:rPr>
        <w:t>c</w:t>
      </w:r>
      <w:r w:rsidR="008A0070" w:rsidRPr="00147A08">
        <w:rPr>
          <w:rFonts w:ascii="Times New Roman" w:hAnsi="Times New Roman" w:cs="Times New Roman"/>
          <w:sz w:val="24"/>
          <w:szCs w:val="24"/>
        </w:rPr>
        <w:t xml:space="preserve">) </w:t>
      </w:r>
      <w:r w:rsidRPr="00147A08">
        <w:rPr>
          <w:rFonts w:ascii="Times New Roman" w:hAnsi="Times New Roman" w:cs="Times New Roman"/>
          <w:sz w:val="24"/>
          <w:szCs w:val="24"/>
        </w:rPr>
        <w:t>development of training material and modules</w:t>
      </w:r>
      <w:r w:rsidR="0044599F" w:rsidRPr="00147A08">
        <w:rPr>
          <w:rFonts w:ascii="Times New Roman" w:hAnsi="Times New Roman" w:cs="Times New Roman"/>
          <w:sz w:val="24"/>
          <w:szCs w:val="24"/>
        </w:rPr>
        <w:t xml:space="preserve"> </w:t>
      </w:r>
    </w:p>
    <w:p w14:paraId="6422BE2F" w14:textId="308F0B3B" w:rsidR="008A0070" w:rsidRDefault="00AC1195" w:rsidP="00F11ED3">
      <w:pPr>
        <w:autoSpaceDE w:val="0"/>
        <w:autoSpaceDN w:val="0"/>
        <w:adjustRightInd w:val="0"/>
        <w:spacing w:after="0" w:line="276" w:lineRule="auto"/>
        <w:ind w:left="720"/>
        <w:jc w:val="both"/>
        <w:rPr>
          <w:rFonts w:ascii="Times New Roman" w:hAnsi="Times New Roman" w:cs="Times New Roman"/>
          <w:sz w:val="24"/>
          <w:szCs w:val="24"/>
        </w:rPr>
      </w:pPr>
      <w:r w:rsidRPr="00147A08">
        <w:rPr>
          <w:rFonts w:ascii="Times New Roman" w:hAnsi="Times New Roman" w:cs="Times New Roman"/>
          <w:sz w:val="24"/>
          <w:szCs w:val="24"/>
        </w:rPr>
        <w:t>(</w:t>
      </w:r>
      <w:r w:rsidR="00B641A4">
        <w:rPr>
          <w:rFonts w:ascii="Times New Roman" w:hAnsi="Times New Roman" w:cs="Times New Roman"/>
          <w:sz w:val="24"/>
          <w:szCs w:val="24"/>
        </w:rPr>
        <w:t>d</w:t>
      </w:r>
      <w:r w:rsidRPr="00147A08">
        <w:rPr>
          <w:rFonts w:ascii="Times New Roman" w:hAnsi="Times New Roman" w:cs="Times New Roman"/>
          <w:sz w:val="24"/>
          <w:szCs w:val="24"/>
        </w:rPr>
        <w:t xml:space="preserve">) </w:t>
      </w:r>
      <w:r w:rsidR="008A0070" w:rsidRPr="00147A08">
        <w:rPr>
          <w:rFonts w:ascii="Times New Roman" w:hAnsi="Times New Roman" w:cs="Times New Roman"/>
          <w:sz w:val="24"/>
          <w:szCs w:val="24"/>
        </w:rPr>
        <w:t>reviewing and strengthening research proposals</w:t>
      </w:r>
    </w:p>
    <w:p w14:paraId="3FBBD54C" w14:textId="1834DB8E" w:rsidR="00B641A4" w:rsidRDefault="00B641A4" w:rsidP="00F11ED3">
      <w:pPr>
        <w:autoSpaceDE w:val="0"/>
        <w:autoSpaceDN w:val="0"/>
        <w:adjustRightInd w:val="0"/>
        <w:spacing w:after="0" w:line="276" w:lineRule="auto"/>
        <w:ind w:left="720"/>
        <w:jc w:val="both"/>
        <w:rPr>
          <w:rFonts w:ascii="Times New Roman" w:hAnsi="Times New Roman" w:cs="Times New Roman"/>
          <w:sz w:val="24"/>
          <w:szCs w:val="24"/>
        </w:rPr>
      </w:pPr>
      <w:r w:rsidRPr="00147A08">
        <w:rPr>
          <w:rFonts w:ascii="Times New Roman" w:hAnsi="Times New Roman" w:cs="Times New Roman"/>
          <w:sz w:val="24"/>
          <w:szCs w:val="24"/>
        </w:rPr>
        <w:t>(</w:t>
      </w:r>
      <w:r>
        <w:rPr>
          <w:rFonts w:ascii="Times New Roman" w:hAnsi="Times New Roman" w:cs="Times New Roman"/>
          <w:sz w:val="24"/>
          <w:szCs w:val="24"/>
        </w:rPr>
        <w:t>e</w:t>
      </w:r>
      <w:r w:rsidRPr="00147A08">
        <w:rPr>
          <w:rFonts w:ascii="Times New Roman" w:hAnsi="Times New Roman" w:cs="Times New Roman"/>
          <w:sz w:val="24"/>
          <w:szCs w:val="24"/>
        </w:rPr>
        <w:t xml:space="preserve">) providing support with specialist public health assignments </w:t>
      </w:r>
    </w:p>
    <w:p w14:paraId="04D20786" w14:textId="77777777" w:rsidR="008A0070" w:rsidRPr="00147A08" w:rsidRDefault="008A0070" w:rsidP="00147A08">
      <w:pPr>
        <w:spacing w:after="0" w:line="276" w:lineRule="auto"/>
        <w:jc w:val="both"/>
        <w:rPr>
          <w:rFonts w:ascii="Times New Roman" w:hAnsi="Times New Roman" w:cs="Times New Roman"/>
          <w:color w:val="000000"/>
          <w:sz w:val="24"/>
          <w:szCs w:val="24"/>
          <w:u w:val="single"/>
          <w:shd w:val="clear" w:color="auto" w:fill="FFFFFF"/>
        </w:rPr>
      </w:pPr>
    </w:p>
    <w:p w14:paraId="72E9E751" w14:textId="54C5D0C6" w:rsidR="00423850" w:rsidRPr="00147A08" w:rsidRDefault="0001481C" w:rsidP="00147A08">
      <w:pPr>
        <w:spacing w:after="0" w:line="276" w:lineRule="auto"/>
        <w:jc w:val="both"/>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 xml:space="preserve">2. </w:t>
      </w:r>
      <w:r w:rsidR="00423850" w:rsidRPr="00147A08">
        <w:rPr>
          <w:rFonts w:ascii="Times New Roman" w:hAnsi="Times New Roman" w:cs="Times New Roman"/>
          <w:color w:val="000000"/>
          <w:sz w:val="24"/>
          <w:szCs w:val="24"/>
          <w:u w:val="single"/>
          <w:shd w:val="clear" w:color="auto" w:fill="FFFFFF"/>
        </w:rPr>
        <w:t>About NHSRC</w:t>
      </w:r>
    </w:p>
    <w:p w14:paraId="611A206B" w14:textId="7E57E3CC" w:rsidR="009C56A6" w:rsidRPr="00147A08" w:rsidRDefault="00423850" w:rsidP="00147A08">
      <w:pPr>
        <w:spacing w:after="0" w:line="276" w:lineRule="auto"/>
        <w:jc w:val="both"/>
        <w:rPr>
          <w:rFonts w:ascii="Times New Roman" w:hAnsi="Times New Roman" w:cs="Times New Roman"/>
          <w:color w:val="000000"/>
          <w:sz w:val="24"/>
          <w:szCs w:val="24"/>
          <w:shd w:val="clear" w:color="auto" w:fill="FFFFFF"/>
        </w:rPr>
      </w:pPr>
      <w:r w:rsidRPr="00147A08">
        <w:rPr>
          <w:rFonts w:ascii="Times New Roman" w:hAnsi="Times New Roman" w:cs="Times New Roman"/>
          <w:color w:val="000000"/>
          <w:sz w:val="24"/>
          <w:szCs w:val="24"/>
          <w:shd w:val="clear" w:color="auto" w:fill="FFFFFF"/>
        </w:rPr>
        <w:t xml:space="preserve">The National Health Systems Resource Centre works with policy makers and practitioners to provide technical support based on experimental learning and feedback, build sustainable partnerships and strengthen technical strategies and management approaches to enable people centred health systems. </w:t>
      </w:r>
    </w:p>
    <w:p w14:paraId="0CCAF7C8" w14:textId="234B4D9B" w:rsidR="004B3686" w:rsidRPr="00147A08" w:rsidRDefault="004B3686" w:rsidP="00147A08">
      <w:pPr>
        <w:spacing w:after="0" w:line="276" w:lineRule="auto"/>
        <w:jc w:val="both"/>
        <w:rPr>
          <w:rFonts w:ascii="Times New Roman" w:hAnsi="Times New Roman" w:cs="Times New Roman"/>
          <w:color w:val="000000"/>
          <w:sz w:val="24"/>
          <w:szCs w:val="24"/>
          <w:shd w:val="clear" w:color="auto" w:fill="FFFFFF"/>
        </w:rPr>
      </w:pPr>
    </w:p>
    <w:p w14:paraId="1AECE763" w14:textId="59C9B117" w:rsidR="004B3686" w:rsidRPr="00147A08" w:rsidRDefault="004B3686" w:rsidP="00147A08">
      <w:pPr>
        <w:spacing w:after="0" w:line="276" w:lineRule="auto"/>
        <w:jc w:val="both"/>
        <w:rPr>
          <w:rFonts w:ascii="Times New Roman" w:hAnsi="Times New Roman" w:cs="Times New Roman"/>
          <w:color w:val="000000"/>
          <w:sz w:val="24"/>
          <w:szCs w:val="24"/>
          <w:shd w:val="clear" w:color="auto" w:fill="FFFFFF"/>
        </w:rPr>
      </w:pPr>
      <w:r w:rsidRPr="00147A08">
        <w:rPr>
          <w:rFonts w:ascii="Times New Roman" w:hAnsi="Times New Roman" w:cs="Times New Roman"/>
          <w:color w:val="000000"/>
          <w:sz w:val="24"/>
          <w:szCs w:val="24"/>
          <w:shd w:val="clear" w:color="auto" w:fill="FFFFFF"/>
        </w:rPr>
        <w:t xml:space="preserve">NHSRC </w:t>
      </w:r>
      <w:r w:rsidR="006A188E" w:rsidRPr="00147A08">
        <w:rPr>
          <w:rFonts w:ascii="Times New Roman" w:hAnsi="Times New Roman" w:cs="Times New Roman"/>
          <w:color w:val="000000"/>
          <w:sz w:val="24"/>
          <w:szCs w:val="24"/>
          <w:shd w:val="clear" w:color="auto" w:fill="FFFFFF"/>
        </w:rPr>
        <w:t>is seeking expressions of interest from (1) Qualified and experienced public health professionals and (2) Public, Private and Not-for-Profit organizations (including</w:t>
      </w:r>
      <w:r w:rsidR="0001481C">
        <w:rPr>
          <w:rFonts w:ascii="Times New Roman" w:hAnsi="Times New Roman" w:cs="Times New Roman"/>
          <w:color w:val="000000"/>
          <w:sz w:val="24"/>
          <w:szCs w:val="24"/>
          <w:shd w:val="clear" w:color="auto" w:fill="FFFFFF"/>
        </w:rPr>
        <w:t xml:space="preserve"> </w:t>
      </w:r>
      <w:r w:rsidR="006A188E" w:rsidRPr="00147A08">
        <w:rPr>
          <w:rFonts w:ascii="Times New Roman" w:hAnsi="Times New Roman" w:cs="Times New Roman"/>
          <w:color w:val="000000"/>
          <w:sz w:val="24"/>
          <w:szCs w:val="24"/>
          <w:shd w:val="clear" w:color="auto" w:fill="FFFFFF"/>
        </w:rPr>
        <w:t xml:space="preserve">academic institutions and reputed NGOs) for empanelment for above mentioned purposes. </w:t>
      </w:r>
    </w:p>
    <w:p w14:paraId="3DC2F34F" w14:textId="77777777" w:rsidR="008115A7" w:rsidRPr="00147A08" w:rsidRDefault="008115A7" w:rsidP="00147A08">
      <w:pPr>
        <w:spacing w:after="0" w:line="276" w:lineRule="auto"/>
        <w:jc w:val="both"/>
        <w:rPr>
          <w:rFonts w:ascii="Times New Roman" w:eastAsia="Times New Roman" w:hAnsi="Times New Roman" w:cs="Times New Roman"/>
          <w:sz w:val="24"/>
          <w:szCs w:val="24"/>
          <w:lang w:eastAsia="en-IN"/>
        </w:rPr>
      </w:pPr>
    </w:p>
    <w:p w14:paraId="3CE2B4B4" w14:textId="0F045AB7" w:rsidR="00423850" w:rsidRPr="00147A08" w:rsidRDefault="0001481C" w:rsidP="00147A08">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3. </w:t>
      </w:r>
      <w:r w:rsidRPr="0080690E">
        <w:rPr>
          <w:rFonts w:ascii="Times New Roman" w:eastAsia="Times New Roman" w:hAnsi="Times New Roman" w:cs="Times New Roman"/>
          <w:sz w:val="24"/>
          <w:szCs w:val="24"/>
          <w:u w:val="single"/>
          <w:lang w:eastAsia="en-IN"/>
        </w:rPr>
        <w:t>The broad areas of work and capacity building</w:t>
      </w:r>
      <w:r w:rsidR="0080690E" w:rsidRPr="0080690E">
        <w:rPr>
          <w:rFonts w:ascii="Times New Roman" w:eastAsia="Times New Roman" w:hAnsi="Times New Roman" w:cs="Times New Roman"/>
          <w:sz w:val="24"/>
          <w:szCs w:val="24"/>
          <w:u w:val="single"/>
          <w:lang w:eastAsia="en-IN"/>
        </w:rPr>
        <w:t>:</w:t>
      </w:r>
      <w:r w:rsidR="0080690E">
        <w:rPr>
          <w:rFonts w:ascii="Times New Roman" w:eastAsia="Times New Roman" w:hAnsi="Times New Roman" w:cs="Times New Roman"/>
          <w:sz w:val="24"/>
          <w:szCs w:val="24"/>
          <w:lang w:eastAsia="en-IN"/>
        </w:rPr>
        <w:t xml:space="preserve"> </w:t>
      </w:r>
      <w:r w:rsidR="00423850" w:rsidRPr="00147A08">
        <w:rPr>
          <w:rFonts w:ascii="Times New Roman" w:eastAsia="Times New Roman" w:hAnsi="Times New Roman" w:cs="Times New Roman"/>
          <w:sz w:val="24"/>
          <w:szCs w:val="24"/>
          <w:lang w:eastAsia="en-IN"/>
        </w:rPr>
        <w:t>Interested applicants should have expertise in one or more of the areas listed below</w:t>
      </w:r>
      <w:r w:rsidR="00EC7AD1" w:rsidRPr="00147A08">
        <w:rPr>
          <w:rFonts w:ascii="Times New Roman" w:eastAsia="Times New Roman" w:hAnsi="Times New Roman" w:cs="Times New Roman"/>
          <w:sz w:val="24"/>
          <w:szCs w:val="24"/>
          <w:lang w:eastAsia="en-IN"/>
        </w:rPr>
        <w:t>.</w:t>
      </w:r>
      <w:r w:rsidR="00423850" w:rsidRPr="00147A08">
        <w:rPr>
          <w:rFonts w:ascii="Times New Roman" w:eastAsia="Times New Roman" w:hAnsi="Times New Roman" w:cs="Times New Roman"/>
          <w:sz w:val="24"/>
          <w:szCs w:val="24"/>
          <w:lang w:eastAsia="en-IN"/>
        </w:rPr>
        <w:t xml:space="preserve"> </w:t>
      </w:r>
    </w:p>
    <w:tbl>
      <w:tblPr>
        <w:tblStyle w:val="TableGrid"/>
        <w:tblpPr w:leftFromText="180" w:rightFromText="180" w:vertAnchor="text" w:horzAnchor="margin" w:tblpY="21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2"/>
      </w:tblGrid>
      <w:tr w:rsidR="00023A8A" w:rsidRPr="00147A08" w14:paraId="597E452B" w14:textId="77777777" w:rsidTr="00023A8A">
        <w:tc>
          <w:tcPr>
            <w:tcW w:w="5070" w:type="dxa"/>
          </w:tcPr>
          <w:p w14:paraId="2BF33BDB"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Community Processes</w:t>
            </w:r>
          </w:p>
        </w:tc>
        <w:tc>
          <w:tcPr>
            <w:tcW w:w="4252" w:type="dxa"/>
          </w:tcPr>
          <w:p w14:paraId="2D4C0C3D"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Health Technology Assessments</w:t>
            </w:r>
          </w:p>
        </w:tc>
      </w:tr>
      <w:tr w:rsidR="00023A8A" w:rsidRPr="00147A08" w14:paraId="6515E53B" w14:textId="77777777" w:rsidTr="00023A8A">
        <w:tc>
          <w:tcPr>
            <w:tcW w:w="5070" w:type="dxa"/>
          </w:tcPr>
          <w:p w14:paraId="5C30679F"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Public Health Planning</w:t>
            </w:r>
          </w:p>
        </w:tc>
        <w:tc>
          <w:tcPr>
            <w:tcW w:w="4252" w:type="dxa"/>
          </w:tcPr>
          <w:p w14:paraId="48043945"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Organization of primary and secondary health care services</w:t>
            </w:r>
          </w:p>
        </w:tc>
      </w:tr>
      <w:tr w:rsidR="00023A8A" w:rsidRPr="00147A08" w14:paraId="2BC1274F" w14:textId="77777777" w:rsidTr="00023A8A">
        <w:tc>
          <w:tcPr>
            <w:tcW w:w="5070" w:type="dxa"/>
          </w:tcPr>
          <w:p w14:paraId="1407E81F"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Health Informatics</w:t>
            </w:r>
          </w:p>
        </w:tc>
        <w:tc>
          <w:tcPr>
            <w:tcW w:w="4252" w:type="dxa"/>
          </w:tcPr>
          <w:p w14:paraId="0E609F04"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Urban Health</w:t>
            </w:r>
          </w:p>
        </w:tc>
      </w:tr>
      <w:tr w:rsidR="00023A8A" w:rsidRPr="00147A08" w14:paraId="53903A83" w14:textId="77777777" w:rsidTr="00023A8A">
        <w:tc>
          <w:tcPr>
            <w:tcW w:w="5070" w:type="dxa"/>
          </w:tcPr>
          <w:p w14:paraId="2C0DC6C9"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Quality in health systems</w:t>
            </w:r>
          </w:p>
        </w:tc>
        <w:tc>
          <w:tcPr>
            <w:tcW w:w="4252" w:type="dxa"/>
          </w:tcPr>
          <w:p w14:paraId="278FD2A1"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Health Governance and Management</w:t>
            </w:r>
          </w:p>
        </w:tc>
      </w:tr>
      <w:tr w:rsidR="00023A8A" w:rsidRPr="00147A08" w14:paraId="3E8F26AE" w14:textId="77777777" w:rsidTr="00023A8A">
        <w:tc>
          <w:tcPr>
            <w:tcW w:w="5070" w:type="dxa"/>
          </w:tcPr>
          <w:p w14:paraId="5F218D21"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Human Resources for Health</w:t>
            </w:r>
          </w:p>
        </w:tc>
        <w:tc>
          <w:tcPr>
            <w:tcW w:w="4252" w:type="dxa"/>
          </w:tcPr>
          <w:p w14:paraId="25300727"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Health Communication and Behaviour Change</w:t>
            </w:r>
          </w:p>
        </w:tc>
      </w:tr>
      <w:tr w:rsidR="00023A8A" w:rsidRPr="00147A08" w14:paraId="0073A038" w14:textId="77777777" w:rsidTr="00023A8A">
        <w:tc>
          <w:tcPr>
            <w:tcW w:w="5070" w:type="dxa"/>
          </w:tcPr>
          <w:p w14:paraId="14CBADF1"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Healthcare Financing (including Health Accounts, Insurance &amp; Expenditure Analysis)</w:t>
            </w:r>
          </w:p>
        </w:tc>
        <w:tc>
          <w:tcPr>
            <w:tcW w:w="4252" w:type="dxa"/>
          </w:tcPr>
          <w:p w14:paraId="64DCAA06"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 xml:space="preserve">Access to health services and equity </w:t>
            </w:r>
          </w:p>
        </w:tc>
      </w:tr>
      <w:tr w:rsidR="00023A8A" w:rsidRPr="00147A08" w14:paraId="2D43FAF4" w14:textId="77777777" w:rsidTr="00023A8A">
        <w:tc>
          <w:tcPr>
            <w:tcW w:w="5070" w:type="dxa"/>
          </w:tcPr>
          <w:p w14:paraId="6ED6375E"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Public Private Partnerships (PPP)</w:t>
            </w:r>
          </w:p>
        </w:tc>
        <w:tc>
          <w:tcPr>
            <w:tcW w:w="4252" w:type="dxa"/>
          </w:tcPr>
          <w:p w14:paraId="2B1705BD"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Public Health Surveillance</w:t>
            </w:r>
          </w:p>
        </w:tc>
      </w:tr>
      <w:tr w:rsidR="00023A8A" w:rsidRPr="00147A08" w14:paraId="56EA8834" w14:textId="77777777" w:rsidTr="00023A8A">
        <w:tc>
          <w:tcPr>
            <w:tcW w:w="5070" w:type="dxa"/>
          </w:tcPr>
          <w:p w14:paraId="23FF2D92"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Procurement and contracting</w:t>
            </w:r>
          </w:p>
        </w:tc>
        <w:tc>
          <w:tcPr>
            <w:tcW w:w="4252" w:type="dxa"/>
          </w:tcPr>
          <w:p w14:paraId="0F840618"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Multisectoral convergence</w:t>
            </w:r>
          </w:p>
        </w:tc>
      </w:tr>
      <w:tr w:rsidR="00023A8A" w:rsidRPr="00147A08" w14:paraId="53A98185" w14:textId="77777777" w:rsidTr="00023A8A">
        <w:tc>
          <w:tcPr>
            <w:tcW w:w="5070" w:type="dxa"/>
          </w:tcPr>
          <w:p w14:paraId="7E7829A6" w14:textId="77777777" w:rsidR="00023A8A" w:rsidRPr="00147A08" w:rsidRDefault="00023A8A" w:rsidP="00FE076A">
            <w:pPr>
              <w:pStyle w:val="ListParagraph"/>
              <w:numPr>
                <w:ilvl w:val="0"/>
                <w:numId w:val="16"/>
              </w:numPr>
              <w:autoSpaceDE w:val="0"/>
              <w:autoSpaceDN w:val="0"/>
              <w:adjustRightInd w:val="0"/>
              <w:spacing w:line="276" w:lineRule="auto"/>
              <w:jc w:val="both"/>
              <w:rPr>
                <w:rFonts w:ascii="Times New Roman" w:hAnsi="Times New Roman" w:cs="Times New Roman"/>
                <w:sz w:val="24"/>
                <w:szCs w:val="24"/>
              </w:rPr>
            </w:pPr>
            <w:r w:rsidRPr="00147A08">
              <w:rPr>
                <w:rFonts w:ascii="Times New Roman" w:hAnsi="Times New Roman" w:cs="Times New Roman"/>
                <w:sz w:val="24"/>
                <w:szCs w:val="24"/>
              </w:rPr>
              <w:t>Public Health Administration (including regulatory/legal issues)</w:t>
            </w:r>
          </w:p>
          <w:p w14:paraId="62E2C1AF" w14:textId="77777777" w:rsidR="00023A8A" w:rsidRPr="00147A08" w:rsidRDefault="00023A8A" w:rsidP="00023A8A">
            <w:pPr>
              <w:autoSpaceDE w:val="0"/>
              <w:autoSpaceDN w:val="0"/>
              <w:adjustRightInd w:val="0"/>
              <w:spacing w:line="276" w:lineRule="auto"/>
              <w:jc w:val="both"/>
              <w:rPr>
                <w:rFonts w:ascii="Times New Roman" w:hAnsi="Times New Roman" w:cs="Times New Roman"/>
                <w:sz w:val="24"/>
                <w:szCs w:val="24"/>
              </w:rPr>
            </w:pPr>
          </w:p>
        </w:tc>
        <w:tc>
          <w:tcPr>
            <w:tcW w:w="4252" w:type="dxa"/>
          </w:tcPr>
          <w:p w14:paraId="302D447F" w14:textId="77777777" w:rsidR="00023A8A" w:rsidRPr="00FE076A" w:rsidRDefault="00023A8A" w:rsidP="00FE076A">
            <w:pPr>
              <w:autoSpaceDE w:val="0"/>
              <w:autoSpaceDN w:val="0"/>
              <w:adjustRightInd w:val="0"/>
              <w:spacing w:line="276" w:lineRule="auto"/>
              <w:jc w:val="both"/>
              <w:rPr>
                <w:rFonts w:ascii="Times New Roman" w:hAnsi="Times New Roman" w:cs="Times New Roman"/>
                <w:sz w:val="24"/>
                <w:szCs w:val="24"/>
              </w:rPr>
            </w:pPr>
          </w:p>
        </w:tc>
      </w:tr>
    </w:tbl>
    <w:p w14:paraId="69715BFC" w14:textId="279B2BBF" w:rsidR="00423850" w:rsidRPr="00147A08" w:rsidRDefault="00423850" w:rsidP="00147A08">
      <w:pPr>
        <w:autoSpaceDE w:val="0"/>
        <w:autoSpaceDN w:val="0"/>
        <w:adjustRightInd w:val="0"/>
        <w:spacing w:after="0" w:line="276" w:lineRule="auto"/>
        <w:jc w:val="both"/>
        <w:rPr>
          <w:rFonts w:ascii="Times New Roman" w:hAnsi="Times New Roman" w:cs="Times New Roman"/>
          <w:sz w:val="24"/>
          <w:szCs w:val="24"/>
        </w:rPr>
      </w:pPr>
    </w:p>
    <w:p w14:paraId="5D6A6D8A" w14:textId="4CDF8B8B" w:rsidR="008115A7" w:rsidRPr="00F737A3" w:rsidRDefault="00023A8A" w:rsidP="00147A08">
      <w:pPr>
        <w:autoSpaceDE w:val="0"/>
        <w:autoSpaceDN w:val="0"/>
        <w:adjustRightInd w:val="0"/>
        <w:spacing w:after="0" w:line="276" w:lineRule="auto"/>
        <w:jc w:val="both"/>
        <w:rPr>
          <w:rFonts w:ascii="Times New Roman" w:hAnsi="Times New Roman" w:cs="Times New Roman"/>
          <w:color w:val="000000"/>
          <w:sz w:val="24"/>
          <w:szCs w:val="24"/>
          <w:u w:val="single"/>
        </w:rPr>
      </w:pPr>
      <w:r>
        <w:rPr>
          <w:rFonts w:ascii="Times New Roman" w:hAnsi="Times New Roman" w:cs="Times New Roman"/>
          <w:sz w:val="24"/>
          <w:szCs w:val="24"/>
        </w:rPr>
        <w:t xml:space="preserve">4. </w:t>
      </w:r>
      <w:r w:rsidR="008115A7" w:rsidRPr="00147A08">
        <w:rPr>
          <w:rFonts w:ascii="Times New Roman" w:hAnsi="Times New Roman" w:cs="Times New Roman"/>
          <w:color w:val="000000"/>
          <w:sz w:val="24"/>
          <w:szCs w:val="24"/>
          <w:u w:val="single"/>
        </w:rPr>
        <w:t>Eligibility</w:t>
      </w:r>
      <w:r w:rsidR="00F737A3">
        <w:rPr>
          <w:rFonts w:ascii="Times New Roman" w:hAnsi="Times New Roman" w:cs="Times New Roman"/>
          <w:color w:val="000000"/>
          <w:sz w:val="24"/>
          <w:szCs w:val="24"/>
          <w:u w:val="single"/>
        </w:rPr>
        <w:t>:</w:t>
      </w:r>
      <w:r w:rsidR="00A8278D">
        <w:rPr>
          <w:rFonts w:ascii="Times New Roman" w:hAnsi="Times New Roman" w:cs="Times New Roman"/>
          <w:color w:val="000000"/>
          <w:sz w:val="24"/>
          <w:szCs w:val="24"/>
        </w:rPr>
        <w:t xml:space="preserve"> </w:t>
      </w:r>
      <w:r w:rsidR="00F06DB9" w:rsidRPr="00147A08">
        <w:rPr>
          <w:rFonts w:ascii="Times New Roman" w:hAnsi="Times New Roman" w:cs="Times New Roman"/>
          <w:color w:val="000000"/>
          <w:sz w:val="24"/>
          <w:szCs w:val="24"/>
        </w:rPr>
        <w:t>Individual Consultants and Organizations</w:t>
      </w:r>
      <w:r w:rsidR="008115A7" w:rsidRPr="00147A08">
        <w:rPr>
          <w:rFonts w:ascii="Times New Roman" w:hAnsi="Times New Roman" w:cs="Times New Roman"/>
          <w:color w:val="000000"/>
          <w:sz w:val="24"/>
          <w:szCs w:val="24"/>
        </w:rPr>
        <w:t xml:space="preserve"> should submit documentation to determine eligibility criteria</w:t>
      </w:r>
      <w:r w:rsidR="00F737A3">
        <w:rPr>
          <w:rFonts w:ascii="Times New Roman" w:hAnsi="Times New Roman" w:cs="Times New Roman"/>
          <w:color w:val="000000"/>
          <w:sz w:val="24"/>
          <w:szCs w:val="24"/>
        </w:rPr>
        <w:t xml:space="preserve">. </w:t>
      </w:r>
    </w:p>
    <w:p w14:paraId="1A8C177B" w14:textId="700E9005" w:rsidR="008163E5" w:rsidRPr="00147A08" w:rsidRDefault="008163E5" w:rsidP="00147A08">
      <w:p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color w:val="000000"/>
          <w:sz w:val="24"/>
          <w:szCs w:val="24"/>
        </w:rPr>
        <w:t>(i) Individual consultants will need to submit</w:t>
      </w:r>
      <w:r w:rsidR="00664BCB">
        <w:rPr>
          <w:rFonts w:ascii="Times New Roman" w:hAnsi="Times New Roman" w:cs="Times New Roman"/>
          <w:color w:val="000000"/>
          <w:sz w:val="24"/>
          <w:szCs w:val="24"/>
        </w:rPr>
        <w:t>,</w:t>
      </w:r>
    </w:p>
    <w:p w14:paraId="26B4C64E" w14:textId="77777777" w:rsidR="00197802" w:rsidRPr="00147A08" w:rsidRDefault="008115A7" w:rsidP="00147A08">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color w:val="000000"/>
          <w:sz w:val="24"/>
          <w:szCs w:val="24"/>
        </w:rPr>
        <w:t>Proof of educational qualification(s) and a proven track record of relevant experience.</w:t>
      </w:r>
    </w:p>
    <w:p w14:paraId="7B117DF6" w14:textId="15F3C1EF" w:rsidR="00197802" w:rsidRDefault="00ED6107" w:rsidP="00147A08">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w:t>
      </w:r>
      <w:r w:rsidR="008115A7" w:rsidRPr="00147A08">
        <w:rPr>
          <w:rFonts w:ascii="Times New Roman" w:hAnsi="Times New Roman" w:cs="Times New Roman"/>
          <w:color w:val="000000"/>
          <w:sz w:val="24"/>
          <w:szCs w:val="24"/>
        </w:rPr>
        <w:t xml:space="preserve">t least </w:t>
      </w:r>
      <w:r w:rsidR="00FA3E48" w:rsidRPr="00147A08">
        <w:rPr>
          <w:rFonts w:ascii="Times New Roman" w:hAnsi="Times New Roman" w:cs="Times New Roman"/>
          <w:color w:val="000000"/>
          <w:sz w:val="24"/>
          <w:szCs w:val="24"/>
        </w:rPr>
        <w:t>five</w:t>
      </w:r>
      <w:r w:rsidR="008115A7" w:rsidRPr="00147A08">
        <w:rPr>
          <w:rFonts w:ascii="Times New Roman" w:hAnsi="Times New Roman" w:cs="Times New Roman"/>
          <w:color w:val="000000"/>
          <w:sz w:val="24"/>
          <w:szCs w:val="24"/>
        </w:rPr>
        <w:t xml:space="preserve"> examples of work in the health sector (e.g. publications, reports) undertaken by the individual in the last five years.</w:t>
      </w:r>
    </w:p>
    <w:p w14:paraId="22D1E3B5" w14:textId="0A6CA92B" w:rsidR="0044599F" w:rsidRPr="00147A08" w:rsidRDefault="0044599F" w:rsidP="0044599F">
      <w:pPr>
        <w:pStyle w:val="ListParagraph"/>
        <w:autoSpaceDE w:val="0"/>
        <w:autoSpaceDN w:val="0"/>
        <w:adjustRightInd w:val="0"/>
        <w:spacing w:after="0" w:line="276" w:lineRule="auto"/>
        <w:jc w:val="both"/>
        <w:rPr>
          <w:rFonts w:ascii="Times New Roman" w:hAnsi="Times New Roman" w:cs="Times New Roman"/>
          <w:color w:val="000000"/>
          <w:sz w:val="24"/>
          <w:szCs w:val="24"/>
        </w:rPr>
      </w:pPr>
    </w:p>
    <w:p w14:paraId="60507E57" w14:textId="7AA42BE1" w:rsidR="00BA2E02" w:rsidRPr="00147A08" w:rsidRDefault="008163E5" w:rsidP="00147A08">
      <w:p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sz w:val="24"/>
          <w:szCs w:val="24"/>
        </w:rPr>
        <w:t xml:space="preserve">(ii) </w:t>
      </w:r>
      <w:r w:rsidR="00BA2E02" w:rsidRPr="00147A08">
        <w:rPr>
          <w:rFonts w:ascii="Times New Roman" w:hAnsi="Times New Roman" w:cs="Times New Roman"/>
          <w:sz w:val="24"/>
          <w:szCs w:val="24"/>
        </w:rPr>
        <w:t>Organizations will need to submit</w:t>
      </w:r>
      <w:r w:rsidR="00664BCB">
        <w:rPr>
          <w:rFonts w:ascii="Times New Roman" w:hAnsi="Times New Roman" w:cs="Times New Roman"/>
          <w:sz w:val="24"/>
          <w:szCs w:val="24"/>
        </w:rPr>
        <w:t xml:space="preserve">, </w:t>
      </w:r>
    </w:p>
    <w:p w14:paraId="3ACB0210" w14:textId="77777777" w:rsidR="00BA2E02" w:rsidRPr="00147A08" w:rsidRDefault="00BA2E02" w:rsidP="00147A08">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147A08">
        <w:rPr>
          <w:rFonts w:ascii="Times New Roman" w:hAnsi="Times New Roman" w:cs="Times New Roman"/>
          <w:sz w:val="24"/>
          <w:szCs w:val="24"/>
        </w:rPr>
        <w:t>A list of relevant faculty with CVs (3-5 staff members with the relevant qualifications and public health experience).</w:t>
      </w:r>
    </w:p>
    <w:p w14:paraId="615800A7" w14:textId="77777777" w:rsidR="00BA2E02" w:rsidRPr="00147A08" w:rsidRDefault="00BA2E02" w:rsidP="00147A08">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147A08">
        <w:rPr>
          <w:rFonts w:ascii="Times New Roman" w:hAnsi="Times New Roman" w:cs="Times New Roman"/>
          <w:sz w:val="24"/>
          <w:szCs w:val="24"/>
        </w:rPr>
        <w:t>A track record of public health related work for at least three years (e.g. relevant reports and documents).</w:t>
      </w:r>
    </w:p>
    <w:p w14:paraId="551171BE" w14:textId="0334E511" w:rsidR="00BA2E02" w:rsidRDefault="00BA2E02" w:rsidP="00147A08">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147A08">
        <w:rPr>
          <w:rFonts w:ascii="Times New Roman" w:hAnsi="Times New Roman" w:cs="Times New Roman"/>
          <w:sz w:val="24"/>
          <w:szCs w:val="24"/>
        </w:rPr>
        <w:t>Proven organizational capacity to conduct public health research, where appropriate</w:t>
      </w:r>
    </w:p>
    <w:p w14:paraId="1F1B0FE8" w14:textId="511FD54F" w:rsidR="00030A7D" w:rsidRPr="00147A08" w:rsidRDefault="00ED6107" w:rsidP="00147A08">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00030A7D" w:rsidRPr="00147A08">
        <w:rPr>
          <w:rFonts w:ascii="Times New Roman" w:hAnsi="Times New Roman" w:cs="Times New Roman"/>
          <w:sz w:val="24"/>
          <w:szCs w:val="24"/>
        </w:rPr>
        <w:t>etails of Registration along with a copy of their service tax registration, latest return of service tax, PAN card and the last three years IT return.</w:t>
      </w:r>
    </w:p>
    <w:p w14:paraId="203FB561" w14:textId="77777777" w:rsidR="00197802" w:rsidRPr="00147A08" w:rsidRDefault="00197802" w:rsidP="00147A08">
      <w:pPr>
        <w:autoSpaceDE w:val="0"/>
        <w:autoSpaceDN w:val="0"/>
        <w:adjustRightInd w:val="0"/>
        <w:spacing w:after="0" w:line="276" w:lineRule="auto"/>
        <w:jc w:val="both"/>
        <w:rPr>
          <w:rFonts w:ascii="Times New Roman" w:hAnsi="Times New Roman" w:cs="Times New Roman"/>
          <w:color w:val="000000"/>
          <w:sz w:val="24"/>
          <w:szCs w:val="24"/>
        </w:rPr>
      </w:pPr>
    </w:p>
    <w:p w14:paraId="4684FE36" w14:textId="696F516A" w:rsidR="008115A7" w:rsidRPr="00147A08" w:rsidRDefault="00F74D27" w:rsidP="00147A08">
      <w:pPr>
        <w:autoSpaceDE w:val="0"/>
        <w:autoSpaceDN w:val="0"/>
        <w:adjustRightInd w:val="0"/>
        <w:spacing w:after="0" w:line="276"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5. </w:t>
      </w:r>
      <w:r w:rsidR="008115A7" w:rsidRPr="00147A08">
        <w:rPr>
          <w:rFonts w:ascii="Times New Roman" w:hAnsi="Times New Roman" w:cs="Times New Roman"/>
          <w:color w:val="000000"/>
          <w:sz w:val="24"/>
          <w:szCs w:val="24"/>
          <w:u w:val="single"/>
        </w:rPr>
        <w:t>Modalities</w:t>
      </w:r>
    </w:p>
    <w:p w14:paraId="72409E9D" w14:textId="081F24B7" w:rsidR="00197802" w:rsidRPr="00147A08" w:rsidRDefault="008115A7" w:rsidP="00147A08">
      <w:pPr>
        <w:pStyle w:val="ListParagraph"/>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color w:val="000000"/>
          <w:sz w:val="24"/>
          <w:szCs w:val="24"/>
        </w:rPr>
        <w:t>Individuals</w:t>
      </w:r>
      <w:r w:rsidR="0038319D" w:rsidRPr="00147A08">
        <w:rPr>
          <w:rFonts w:ascii="Times New Roman" w:hAnsi="Times New Roman" w:cs="Times New Roman"/>
          <w:color w:val="000000"/>
          <w:sz w:val="24"/>
          <w:szCs w:val="24"/>
        </w:rPr>
        <w:t>/organizations</w:t>
      </w:r>
      <w:r w:rsidRPr="00147A08">
        <w:rPr>
          <w:rFonts w:ascii="Times New Roman" w:hAnsi="Times New Roman" w:cs="Times New Roman"/>
          <w:color w:val="000000"/>
          <w:sz w:val="24"/>
          <w:szCs w:val="24"/>
        </w:rPr>
        <w:t xml:space="preserve"> meeting the technical requirements and eligibility criteria will be </w:t>
      </w:r>
      <w:r w:rsidR="00C35111" w:rsidRPr="00147A08">
        <w:rPr>
          <w:rFonts w:ascii="Times New Roman" w:hAnsi="Times New Roman" w:cs="Times New Roman"/>
          <w:color w:val="000000"/>
          <w:sz w:val="24"/>
          <w:szCs w:val="24"/>
        </w:rPr>
        <w:t>empanelled</w:t>
      </w:r>
      <w:r w:rsidRPr="00147A08">
        <w:rPr>
          <w:rFonts w:ascii="Times New Roman" w:hAnsi="Times New Roman" w:cs="Times New Roman"/>
          <w:color w:val="000000"/>
          <w:sz w:val="24"/>
          <w:szCs w:val="24"/>
        </w:rPr>
        <w:t xml:space="preserve"> for two years in the first instance. Further extensions will be considered based on fulfilling the eligibility criteria and satisfactory</w:t>
      </w:r>
      <w:r w:rsidR="009C56A6" w:rsidRPr="00147A08">
        <w:rPr>
          <w:rFonts w:ascii="Times New Roman" w:hAnsi="Times New Roman" w:cs="Times New Roman"/>
          <w:color w:val="000000"/>
          <w:sz w:val="24"/>
          <w:szCs w:val="24"/>
        </w:rPr>
        <w:t xml:space="preserve"> </w:t>
      </w:r>
      <w:r w:rsidRPr="00147A08">
        <w:rPr>
          <w:rFonts w:ascii="Times New Roman" w:hAnsi="Times New Roman" w:cs="Times New Roman"/>
          <w:color w:val="000000"/>
          <w:sz w:val="24"/>
          <w:szCs w:val="24"/>
        </w:rPr>
        <w:t>completion of assignments</w:t>
      </w:r>
      <w:r w:rsidR="00197802" w:rsidRPr="00147A08">
        <w:rPr>
          <w:rFonts w:ascii="Times New Roman" w:hAnsi="Times New Roman" w:cs="Times New Roman"/>
          <w:color w:val="000000"/>
          <w:sz w:val="24"/>
          <w:szCs w:val="24"/>
        </w:rPr>
        <w:t>.</w:t>
      </w:r>
    </w:p>
    <w:p w14:paraId="5EE373F8" w14:textId="77777777" w:rsidR="00197802" w:rsidRPr="00147A08" w:rsidRDefault="008115A7" w:rsidP="00147A08">
      <w:pPr>
        <w:pStyle w:val="ListParagraph"/>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color w:val="000000"/>
          <w:sz w:val="24"/>
          <w:szCs w:val="24"/>
        </w:rPr>
        <w:t>Detailed Terms of Reference will be provided for individual assignments on a</w:t>
      </w:r>
      <w:r w:rsidR="009C56A6" w:rsidRPr="00147A08">
        <w:rPr>
          <w:rFonts w:ascii="Times New Roman" w:hAnsi="Times New Roman" w:cs="Times New Roman"/>
          <w:color w:val="000000"/>
          <w:sz w:val="24"/>
          <w:szCs w:val="24"/>
        </w:rPr>
        <w:t xml:space="preserve"> </w:t>
      </w:r>
      <w:r w:rsidRPr="00147A08">
        <w:rPr>
          <w:rFonts w:ascii="Times New Roman" w:hAnsi="Times New Roman" w:cs="Times New Roman"/>
          <w:color w:val="000000"/>
          <w:sz w:val="24"/>
          <w:szCs w:val="24"/>
        </w:rPr>
        <w:t>case by case basis.</w:t>
      </w:r>
    </w:p>
    <w:p w14:paraId="33BFEB34" w14:textId="77777777" w:rsidR="00197802" w:rsidRPr="00147A08" w:rsidRDefault="008115A7" w:rsidP="00147A08">
      <w:pPr>
        <w:pStyle w:val="ListParagraph"/>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color w:val="000000"/>
          <w:sz w:val="24"/>
          <w:szCs w:val="24"/>
        </w:rPr>
        <w:t>The consultancy fees for individual assignments will be determined using NHSRC</w:t>
      </w:r>
      <w:r w:rsidR="009C56A6" w:rsidRPr="00147A08">
        <w:rPr>
          <w:rFonts w:ascii="Times New Roman" w:hAnsi="Times New Roman" w:cs="Times New Roman"/>
          <w:color w:val="000000"/>
          <w:sz w:val="24"/>
          <w:szCs w:val="24"/>
        </w:rPr>
        <w:t xml:space="preserve"> </w:t>
      </w:r>
      <w:r w:rsidRPr="00147A08">
        <w:rPr>
          <w:rFonts w:ascii="Times New Roman" w:hAnsi="Times New Roman" w:cs="Times New Roman"/>
          <w:color w:val="000000"/>
          <w:sz w:val="24"/>
          <w:szCs w:val="24"/>
        </w:rPr>
        <w:t>norms.</w:t>
      </w:r>
    </w:p>
    <w:p w14:paraId="52045C30" w14:textId="77777777" w:rsidR="00850936" w:rsidRPr="00147A08" w:rsidRDefault="008115A7" w:rsidP="00147A08">
      <w:pPr>
        <w:pStyle w:val="ListParagraph"/>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color w:val="000000"/>
          <w:sz w:val="24"/>
          <w:szCs w:val="24"/>
        </w:rPr>
        <w:t>Collaboration with individual external consultants will take the form of specific</w:t>
      </w:r>
      <w:r w:rsidR="00197802" w:rsidRPr="00147A08">
        <w:rPr>
          <w:rFonts w:ascii="Times New Roman" w:hAnsi="Times New Roman" w:cs="Times New Roman"/>
          <w:color w:val="000000"/>
          <w:sz w:val="24"/>
          <w:szCs w:val="24"/>
        </w:rPr>
        <w:t xml:space="preserve"> </w:t>
      </w:r>
      <w:r w:rsidRPr="00147A08">
        <w:rPr>
          <w:rFonts w:ascii="Times New Roman" w:hAnsi="Times New Roman" w:cs="Times New Roman"/>
          <w:color w:val="000000"/>
          <w:sz w:val="24"/>
          <w:szCs w:val="24"/>
        </w:rPr>
        <w:t>task assignments awarded through contracts.</w:t>
      </w:r>
    </w:p>
    <w:p w14:paraId="5BBA5CA2" w14:textId="3E18A1CF" w:rsidR="00850936" w:rsidRPr="00147A08" w:rsidRDefault="00850936" w:rsidP="00147A08">
      <w:pPr>
        <w:pStyle w:val="ListParagraph"/>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sz w:val="24"/>
          <w:szCs w:val="24"/>
        </w:rPr>
        <w:t>Collaborations with organizations can be of two types:</w:t>
      </w:r>
    </w:p>
    <w:p w14:paraId="39EA10BD" w14:textId="70EB49C7" w:rsidR="00850936" w:rsidRPr="00147A08" w:rsidRDefault="00850936" w:rsidP="00147A08">
      <w:pPr>
        <w:pStyle w:val="ListParagraph"/>
        <w:numPr>
          <w:ilvl w:val="0"/>
          <w:numId w:val="13"/>
        </w:numPr>
        <w:autoSpaceDE w:val="0"/>
        <w:autoSpaceDN w:val="0"/>
        <w:adjustRightInd w:val="0"/>
        <w:spacing w:after="0" w:line="276" w:lineRule="auto"/>
        <w:jc w:val="both"/>
        <w:rPr>
          <w:rFonts w:ascii="Times New Roman" w:hAnsi="Times New Roman" w:cs="Times New Roman"/>
          <w:sz w:val="24"/>
          <w:szCs w:val="24"/>
        </w:rPr>
      </w:pPr>
      <w:r w:rsidRPr="00147A08">
        <w:rPr>
          <w:rFonts w:ascii="Times New Roman" w:hAnsi="Times New Roman" w:cs="Times New Roman"/>
          <w:sz w:val="24"/>
          <w:szCs w:val="24"/>
        </w:rPr>
        <w:t>Specific task-based contracts: where the same guidelines as for individual consultants apply.</w:t>
      </w:r>
    </w:p>
    <w:p w14:paraId="0A2DF813" w14:textId="4AA5D415" w:rsidR="00850936" w:rsidRPr="00147A08" w:rsidRDefault="00850936" w:rsidP="00147A08">
      <w:pPr>
        <w:pStyle w:val="ListParagraph"/>
        <w:numPr>
          <w:ilvl w:val="0"/>
          <w:numId w:val="13"/>
        </w:numPr>
        <w:autoSpaceDE w:val="0"/>
        <w:autoSpaceDN w:val="0"/>
        <w:adjustRightInd w:val="0"/>
        <w:spacing w:after="0" w:line="276" w:lineRule="auto"/>
        <w:jc w:val="both"/>
        <w:rPr>
          <w:rFonts w:ascii="Times New Roman" w:hAnsi="Times New Roman" w:cs="Times New Roman"/>
          <w:sz w:val="24"/>
          <w:szCs w:val="24"/>
        </w:rPr>
      </w:pPr>
      <w:r w:rsidRPr="00147A08">
        <w:rPr>
          <w:rFonts w:ascii="Times New Roman" w:hAnsi="Times New Roman" w:cs="Times New Roman"/>
          <w:sz w:val="24"/>
          <w:szCs w:val="24"/>
        </w:rPr>
        <w:t xml:space="preserve">Strategic Partnerships with an MOU: where there is a long term understanding of collaboration and work alignment to meet common objectives. This could include circumstances where agreed outputs are required in a recurrent and/ or periodic basis or where there are a number of related </w:t>
      </w:r>
      <w:r w:rsidR="001B4637" w:rsidRPr="00147A08">
        <w:rPr>
          <w:rFonts w:ascii="Times New Roman" w:hAnsi="Times New Roman" w:cs="Times New Roman"/>
          <w:sz w:val="24"/>
          <w:szCs w:val="24"/>
        </w:rPr>
        <w:t>short-term</w:t>
      </w:r>
      <w:r w:rsidRPr="00147A08">
        <w:rPr>
          <w:rFonts w:ascii="Times New Roman" w:hAnsi="Times New Roman" w:cs="Times New Roman"/>
          <w:sz w:val="24"/>
          <w:szCs w:val="24"/>
        </w:rPr>
        <w:t xml:space="preserve"> tasks requiring completion. </w:t>
      </w:r>
    </w:p>
    <w:p w14:paraId="44BAF311" w14:textId="0D06FC0E" w:rsidR="009C56A6" w:rsidRPr="00147A08" w:rsidRDefault="009C56A6" w:rsidP="00147A08">
      <w:pPr>
        <w:pStyle w:val="ListParagraph"/>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eastAsia="Times New Roman" w:hAnsi="Times New Roman" w:cs="Times New Roman"/>
          <w:sz w:val="24"/>
          <w:szCs w:val="24"/>
          <w:lang w:eastAsia="en-IN"/>
        </w:rPr>
        <w:t>If</w:t>
      </w:r>
      <w:r w:rsidR="001D6881" w:rsidRPr="00147A08">
        <w:rPr>
          <w:rFonts w:ascii="Times New Roman" w:eastAsia="Times New Roman" w:hAnsi="Times New Roman" w:cs="Times New Roman"/>
          <w:sz w:val="24"/>
          <w:szCs w:val="24"/>
          <w:lang w:eastAsia="en-IN"/>
        </w:rPr>
        <w:t xml:space="preserve"> </w:t>
      </w:r>
      <w:r w:rsidRPr="00147A08">
        <w:rPr>
          <w:rFonts w:ascii="Times New Roman" w:eastAsia="Times New Roman" w:hAnsi="Times New Roman" w:cs="Times New Roman"/>
          <w:sz w:val="24"/>
          <w:szCs w:val="24"/>
          <w:lang w:eastAsia="en-IN"/>
        </w:rPr>
        <w:t>selected</w:t>
      </w:r>
      <w:r w:rsidR="00A858EC" w:rsidRPr="00147A08">
        <w:rPr>
          <w:rFonts w:ascii="Times New Roman" w:eastAsia="Times New Roman" w:hAnsi="Times New Roman" w:cs="Times New Roman"/>
          <w:sz w:val="24"/>
          <w:szCs w:val="24"/>
          <w:lang w:eastAsia="en-IN"/>
        </w:rPr>
        <w:t xml:space="preserve">, </w:t>
      </w:r>
      <w:r w:rsidR="00243B90" w:rsidRPr="00147A08">
        <w:rPr>
          <w:rFonts w:ascii="Times New Roman" w:eastAsia="Times New Roman" w:hAnsi="Times New Roman" w:cs="Times New Roman"/>
          <w:sz w:val="24"/>
          <w:szCs w:val="24"/>
          <w:lang w:eastAsia="en-IN"/>
        </w:rPr>
        <w:t>individuals</w:t>
      </w:r>
      <w:r w:rsidR="000F2F73" w:rsidRPr="00147A08">
        <w:rPr>
          <w:rFonts w:ascii="Times New Roman" w:eastAsia="Times New Roman" w:hAnsi="Times New Roman" w:cs="Times New Roman"/>
          <w:sz w:val="24"/>
          <w:szCs w:val="24"/>
          <w:lang w:eastAsia="en-IN"/>
        </w:rPr>
        <w:t xml:space="preserve">/organizations </w:t>
      </w:r>
      <w:r w:rsidRPr="00147A08">
        <w:rPr>
          <w:rFonts w:ascii="Times New Roman" w:eastAsia="Times New Roman" w:hAnsi="Times New Roman" w:cs="Times New Roman"/>
          <w:sz w:val="24"/>
          <w:szCs w:val="24"/>
          <w:lang w:eastAsia="en-IN"/>
        </w:rPr>
        <w:t>will be required to sign a confidentiality/nondisclosure agreement.</w:t>
      </w:r>
      <w:r w:rsidR="00197802" w:rsidRPr="00147A08">
        <w:rPr>
          <w:rFonts w:ascii="Times New Roman" w:eastAsia="Times New Roman" w:hAnsi="Times New Roman" w:cs="Times New Roman"/>
          <w:sz w:val="24"/>
          <w:szCs w:val="24"/>
          <w:lang w:eastAsia="en-IN"/>
        </w:rPr>
        <w:t xml:space="preserve"> </w:t>
      </w:r>
      <w:r w:rsidRPr="00147A08">
        <w:rPr>
          <w:rFonts w:ascii="Times New Roman" w:eastAsia="Times New Roman" w:hAnsi="Times New Roman" w:cs="Times New Roman"/>
          <w:sz w:val="24"/>
          <w:szCs w:val="24"/>
          <w:lang w:eastAsia="en-IN"/>
        </w:rPr>
        <w:t xml:space="preserve">Should a conflict of interest arise, it would be incumbent upon the </w:t>
      </w:r>
      <w:r w:rsidR="00191ED0" w:rsidRPr="00147A08">
        <w:rPr>
          <w:rFonts w:ascii="Times New Roman" w:eastAsia="Times New Roman" w:hAnsi="Times New Roman" w:cs="Times New Roman"/>
          <w:sz w:val="24"/>
          <w:szCs w:val="24"/>
          <w:lang w:eastAsia="en-IN"/>
        </w:rPr>
        <w:t>individual/organization</w:t>
      </w:r>
      <w:r w:rsidRPr="00147A08">
        <w:rPr>
          <w:rFonts w:ascii="Times New Roman" w:eastAsia="Times New Roman" w:hAnsi="Times New Roman" w:cs="Times New Roman"/>
          <w:sz w:val="24"/>
          <w:szCs w:val="24"/>
          <w:lang w:eastAsia="en-IN"/>
        </w:rPr>
        <w:t xml:space="preserve"> to notify NHSRC immediately.</w:t>
      </w:r>
      <w:r w:rsidRPr="00147A08">
        <w:rPr>
          <w:rFonts w:ascii="Times New Roman" w:hAnsi="Times New Roman" w:cs="Times New Roman"/>
          <w:sz w:val="24"/>
          <w:szCs w:val="24"/>
          <w:lang w:eastAsia="en-IN"/>
        </w:rPr>
        <w:tab/>
      </w:r>
    </w:p>
    <w:p w14:paraId="75A2FD14" w14:textId="77777777" w:rsidR="009C56A6" w:rsidRPr="00147A08" w:rsidRDefault="009C56A6" w:rsidP="00147A08">
      <w:pPr>
        <w:autoSpaceDE w:val="0"/>
        <w:autoSpaceDN w:val="0"/>
        <w:adjustRightInd w:val="0"/>
        <w:spacing w:after="0" w:line="276" w:lineRule="auto"/>
        <w:jc w:val="both"/>
        <w:rPr>
          <w:rFonts w:ascii="Times New Roman" w:hAnsi="Times New Roman" w:cs="Times New Roman"/>
          <w:color w:val="000000"/>
          <w:sz w:val="24"/>
          <w:szCs w:val="24"/>
        </w:rPr>
      </w:pPr>
    </w:p>
    <w:p w14:paraId="149F7142" w14:textId="77777777" w:rsidR="009C56A6" w:rsidRPr="00147A08" w:rsidRDefault="009C56A6" w:rsidP="00147A08">
      <w:pPr>
        <w:autoSpaceDE w:val="0"/>
        <w:autoSpaceDN w:val="0"/>
        <w:adjustRightInd w:val="0"/>
        <w:spacing w:after="0" w:line="276" w:lineRule="auto"/>
        <w:jc w:val="both"/>
        <w:rPr>
          <w:rFonts w:ascii="Times New Roman" w:hAnsi="Times New Roman" w:cs="Times New Roman"/>
          <w:color w:val="000000"/>
          <w:sz w:val="24"/>
          <w:szCs w:val="24"/>
        </w:rPr>
      </w:pPr>
    </w:p>
    <w:p w14:paraId="1F665564" w14:textId="0E9F89A1" w:rsidR="00AB52AF" w:rsidRPr="00A113FC" w:rsidRDefault="00F74D27" w:rsidP="00147A08">
      <w:pPr>
        <w:autoSpaceDE w:val="0"/>
        <w:autoSpaceDN w:val="0"/>
        <w:adjustRightInd w:val="0"/>
        <w:spacing w:after="0" w:line="276"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6. </w:t>
      </w:r>
      <w:r w:rsidR="008115A7" w:rsidRPr="00A113FC">
        <w:rPr>
          <w:rFonts w:ascii="Times New Roman" w:hAnsi="Times New Roman" w:cs="Times New Roman"/>
          <w:color w:val="000000"/>
          <w:sz w:val="24"/>
          <w:szCs w:val="24"/>
          <w:u w:val="single"/>
        </w:rPr>
        <w:t xml:space="preserve">How to apply? </w:t>
      </w:r>
    </w:p>
    <w:p w14:paraId="552E6703" w14:textId="77777777" w:rsidR="00AB52AF" w:rsidRPr="007C1D58" w:rsidRDefault="008115A7" w:rsidP="007C1D58">
      <w:pPr>
        <w:autoSpaceDE w:val="0"/>
        <w:autoSpaceDN w:val="0"/>
        <w:adjustRightInd w:val="0"/>
        <w:spacing w:after="0" w:line="276" w:lineRule="auto"/>
        <w:jc w:val="both"/>
        <w:rPr>
          <w:rFonts w:ascii="Times New Roman" w:hAnsi="Times New Roman" w:cs="Times New Roman"/>
          <w:color w:val="000000"/>
          <w:sz w:val="24"/>
          <w:szCs w:val="24"/>
        </w:rPr>
      </w:pPr>
      <w:r w:rsidRPr="007C1D58">
        <w:rPr>
          <w:rFonts w:ascii="Times New Roman" w:hAnsi="Times New Roman" w:cs="Times New Roman"/>
          <w:color w:val="000000"/>
          <w:sz w:val="24"/>
          <w:szCs w:val="24"/>
        </w:rPr>
        <w:t>Applications will be accepted on a rolling basis.</w:t>
      </w:r>
    </w:p>
    <w:p w14:paraId="08F27B61" w14:textId="5368E5AF" w:rsidR="00905670" w:rsidRPr="005A09E2" w:rsidRDefault="00905670" w:rsidP="005A09E2">
      <w:pPr>
        <w:pStyle w:val="ListParagraph"/>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color w:val="000000"/>
          <w:sz w:val="24"/>
          <w:szCs w:val="24"/>
        </w:rPr>
        <w:t xml:space="preserve">Interested individual external consultants should fill in </w:t>
      </w:r>
      <w:r w:rsidRPr="00147A08">
        <w:rPr>
          <w:rFonts w:ascii="Times New Roman" w:hAnsi="Times New Roman" w:cs="Times New Roman"/>
          <w:b/>
          <w:bCs/>
          <w:color w:val="000000"/>
          <w:sz w:val="24"/>
          <w:szCs w:val="24"/>
        </w:rPr>
        <w:t xml:space="preserve">Form A </w:t>
      </w:r>
      <w:r w:rsidRPr="00147A08">
        <w:rPr>
          <w:rFonts w:ascii="Times New Roman" w:hAnsi="Times New Roman" w:cs="Times New Roman"/>
          <w:color w:val="000000"/>
          <w:sz w:val="24"/>
          <w:szCs w:val="24"/>
        </w:rPr>
        <w:t>(along with their</w:t>
      </w:r>
      <w:r w:rsidR="005A09E2">
        <w:rPr>
          <w:rFonts w:ascii="Times New Roman" w:hAnsi="Times New Roman" w:cs="Times New Roman"/>
          <w:color w:val="000000"/>
          <w:sz w:val="24"/>
          <w:szCs w:val="24"/>
        </w:rPr>
        <w:t xml:space="preserve"> </w:t>
      </w:r>
      <w:r w:rsidRPr="005A09E2">
        <w:rPr>
          <w:rFonts w:ascii="Times New Roman" w:hAnsi="Times New Roman" w:cs="Times New Roman"/>
          <w:color w:val="000000"/>
          <w:sz w:val="24"/>
          <w:szCs w:val="24"/>
        </w:rPr>
        <w:t xml:space="preserve">most recent CV) and e-mail their application to NHSRC at </w:t>
      </w:r>
      <w:r w:rsidRPr="005A09E2">
        <w:rPr>
          <w:rFonts w:ascii="Times New Roman" w:hAnsi="Times New Roman" w:cs="Times New Roman"/>
          <w:color w:val="0000FF"/>
          <w:sz w:val="24"/>
          <w:szCs w:val="24"/>
        </w:rPr>
        <w:t xml:space="preserve">nhsrc.india@gmail.com </w:t>
      </w:r>
      <w:r w:rsidRPr="005A09E2">
        <w:rPr>
          <w:rFonts w:ascii="Times New Roman" w:hAnsi="Times New Roman" w:cs="Times New Roman"/>
          <w:color w:val="000000"/>
          <w:sz w:val="24"/>
          <w:szCs w:val="24"/>
        </w:rPr>
        <w:t>with the following subject header “EoI for empanelment as an individual”.</w:t>
      </w:r>
    </w:p>
    <w:p w14:paraId="633A8CCB" w14:textId="654717E7" w:rsidR="009C56A6" w:rsidRPr="001B4E73" w:rsidRDefault="00905670" w:rsidP="005A09E2">
      <w:pPr>
        <w:pStyle w:val="ListParagraph"/>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147A08">
        <w:rPr>
          <w:rFonts w:ascii="Times New Roman" w:hAnsi="Times New Roman" w:cs="Times New Roman"/>
          <w:color w:val="000000"/>
          <w:sz w:val="24"/>
          <w:szCs w:val="24"/>
        </w:rPr>
        <w:t xml:space="preserve">Interested external organizations should fill in </w:t>
      </w:r>
      <w:r w:rsidRPr="00147A08">
        <w:rPr>
          <w:rFonts w:ascii="Times New Roman" w:hAnsi="Times New Roman" w:cs="Times New Roman"/>
          <w:b/>
          <w:bCs/>
          <w:color w:val="000000"/>
          <w:sz w:val="24"/>
          <w:szCs w:val="24"/>
        </w:rPr>
        <w:t xml:space="preserve">Form B </w:t>
      </w:r>
      <w:r w:rsidRPr="00147A08">
        <w:rPr>
          <w:rFonts w:ascii="Times New Roman" w:hAnsi="Times New Roman" w:cs="Times New Roman"/>
          <w:color w:val="000000"/>
          <w:sz w:val="24"/>
          <w:szCs w:val="24"/>
        </w:rPr>
        <w:t xml:space="preserve">(along with the most recent CVs for 3-5 relevant staff members) and e-mail their application to NHSRC at </w:t>
      </w:r>
      <w:r w:rsidRPr="00147A08">
        <w:rPr>
          <w:rFonts w:ascii="Times New Roman" w:hAnsi="Times New Roman" w:cs="Times New Roman"/>
          <w:color w:val="0000FF"/>
          <w:sz w:val="24"/>
          <w:szCs w:val="24"/>
        </w:rPr>
        <w:t xml:space="preserve">nhsrc.india@gmail.com </w:t>
      </w:r>
      <w:r w:rsidRPr="00147A08">
        <w:rPr>
          <w:rFonts w:ascii="Times New Roman" w:hAnsi="Times New Roman" w:cs="Times New Roman"/>
          <w:color w:val="000000"/>
          <w:sz w:val="24"/>
          <w:szCs w:val="24"/>
        </w:rPr>
        <w:t>with the following subject header “EoI for empanelment as an organization”.</w:t>
      </w:r>
    </w:p>
    <w:sectPr w:rsidR="009C56A6" w:rsidRPr="001B4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AEE"/>
    <w:multiLevelType w:val="hybridMultilevel"/>
    <w:tmpl w:val="AE4E97A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61A4FC6"/>
    <w:multiLevelType w:val="hybridMultilevel"/>
    <w:tmpl w:val="8C6E03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25905AF"/>
    <w:multiLevelType w:val="hybridMultilevel"/>
    <w:tmpl w:val="52760EF0"/>
    <w:lvl w:ilvl="0" w:tplc="623C3070">
      <w:start w:val="1"/>
      <w:numFmt w:val="lowerRoman"/>
      <w:lvlText w:val="(%1)"/>
      <w:lvlJc w:val="left"/>
      <w:pPr>
        <w:ind w:left="360" w:hanging="360"/>
      </w:pPr>
      <w:rPr>
        <w:rFonts w:ascii="Times New Roman" w:hAnsi="Times New Roman" w:cs="Times New Roman" w:hint="default"/>
        <w:sz w:val="22"/>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A9C0A5F"/>
    <w:multiLevelType w:val="hybridMultilevel"/>
    <w:tmpl w:val="3D881F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166785"/>
    <w:multiLevelType w:val="hybridMultilevel"/>
    <w:tmpl w:val="AE8A50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105516"/>
    <w:multiLevelType w:val="hybridMultilevel"/>
    <w:tmpl w:val="811C7E34"/>
    <w:lvl w:ilvl="0" w:tplc="623C3070">
      <w:start w:val="1"/>
      <w:numFmt w:val="lowerRoman"/>
      <w:lvlText w:val="(%1)"/>
      <w:lvlJc w:val="left"/>
      <w:pPr>
        <w:ind w:left="360" w:hanging="360"/>
      </w:pPr>
      <w:rPr>
        <w:rFonts w:ascii="Times New Roman" w:hAnsi="Times New Roman" w:cs="Times New Roman" w:hint="default"/>
        <w:sz w:val="22"/>
      </w:rPr>
    </w:lvl>
    <w:lvl w:ilvl="1" w:tplc="1C1A50C8">
      <w:start w:val="1"/>
      <w:numFmt w:val="lowerLetter"/>
      <w:lvlText w:val="(%2)"/>
      <w:lvlJc w:val="left"/>
      <w:pPr>
        <w:ind w:left="1080" w:hanging="360"/>
      </w:pPr>
      <w:rPr>
        <w:rFonts w:ascii="Calibri" w:hAnsi="Calibri" w:cs="Calibri" w:hint="default"/>
        <w:sz w:val="22"/>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A2347A2"/>
    <w:multiLevelType w:val="hybridMultilevel"/>
    <w:tmpl w:val="BA4A2CD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885967"/>
    <w:multiLevelType w:val="hybridMultilevel"/>
    <w:tmpl w:val="02C80878"/>
    <w:lvl w:ilvl="0" w:tplc="623C3070">
      <w:start w:val="1"/>
      <w:numFmt w:val="lowerRoman"/>
      <w:lvlText w:val="(%1)"/>
      <w:lvlJc w:val="left"/>
      <w:pPr>
        <w:ind w:left="360" w:hanging="360"/>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3E62FE0"/>
    <w:multiLevelType w:val="hybridMultilevel"/>
    <w:tmpl w:val="ACF84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7A64FA"/>
    <w:multiLevelType w:val="hybridMultilevel"/>
    <w:tmpl w:val="278A48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55651D"/>
    <w:multiLevelType w:val="hybridMultilevel"/>
    <w:tmpl w:val="AE8A50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F8E43FE"/>
    <w:multiLevelType w:val="hybridMultilevel"/>
    <w:tmpl w:val="725A6094"/>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60555E11"/>
    <w:multiLevelType w:val="hybridMultilevel"/>
    <w:tmpl w:val="DA6A9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CD2099"/>
    <w:multiLevelType w:val="hybridMultilevel"/>
    <w:tmpl w:val="7EBC8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036D6F"/>
    <w:multiLevelType w:val="hybridMultilevel"/>
    <w:tmpl w:val="2938C1DA"/>
    <w:lvl w:ilvl="0" w:tplc="623C3070">
      <w:start w:val="1"/>
      <w:numFmt w:val="lowerRoman"/>
      <w:lvlText w:val="(%1)"/>
      <w:lvlJc w:val="left"/>
      <w:pPr>
        <w:ind w:left="1004" w:hanging="720"/>
      </w:pPr>
      <w:rPr>
        <w:rFonts w:ascii="Times New Roman" w:hAnsi="Times New Roman" w:cs="Times New Roman" w:hint="default"/>
        <w:sz w:val="22"/>
      </w:rPr>
    </w:lvl>
    <w:lvl w:ilvl="1" w:tplc="40090019">
      <w:start w:val="1"/>
      <w:numFmt w:val="lowerLetter"/>
      <w:lvlText w:val="%2."/>
      <w:lvlJc w:val="left"/>
      <w:pPr>
        <w:ind w:left="1364" w:hanging="360"/>
      </w:pPr>
    </w:lvl>
    <w:lvl w:ilvl="2" w:tplc="7AFCA972">
      <w:start w:val="5"/>
      <w:numFmt w:val="upperRoman"/>
      <w:lvlText w:val="(%3)"/>
      <w:lvlJc w:val="left"/>
      <w:pPr>
        <w:ind w:left="2624" w:hanging="720"/>
      </w:pPr>
      <w:rPr>
        <w:rFonts w:hint="default"/>
      </w:r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15:restartNumberingAfterBreak="0">
    <w:nsid w:val="7A625D85"/>
    <w:multiLevelType w:val="hybridMultilevel"/>
    <w:tmpl w:val="0CEAD44E"/>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13"/>
  </w:num>
  <w:num w:numId="5">
    <w:abstractNumId w:val="12"/>
  </w:num>
  <w:num w:numId="6">
    <w:abstractNumId w:val="5"/>
  </w:num>
  <w:num w:numId="7">
    <w:abstractNumId w:val="7"/>
  </w:num>
  <w:num w:numId="8">
    <w:abstractNumId w:val="8"/>
  </w:num>
  <w:num w:numId="9">
    <w:abstractNumId w:val="11"/>
  </w:num>
  <w:num w:numId="10">
    <w:abstractNumId w:val="10"/>
  </w:num>
  <w:num w:numId="11">
    <w:abstractNumId w:val="9"/>
  </w:num>
  <w:num w:numId="12">
    <w:abstractNumId w:val="4"/>
  </w:num>
  <w:num w:numId="13">
    <w:abstractNumId w:val="0"/>
  </w:num>
  <w:num w:numId="14">
    <w:abstractNumId w:val="6"/>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50"/>
    <w:rsid w:val="0001481C"/>
    <w:rsid w:val="00023A8A"/>
    <w:rsid w:val="00030A7D"/>
    <w:rsid w:val="000E65AA"/>
    <w:rsid w:val="000F2F73"/>
    <w:rsid w:val="00147A08"/>
    <w:rsid w:val="00156A09"/>
    <w:rsid w:val="00191ED0"/>
    <w:rsid w:val="00197802"/>
    <w:rsid w:val="001B4637"/>
    <w:rsid w:val="001B4E73"/>
    <w:rsid w:val="001D6881"/>
    <w:rsid w:val="00243B90"/>
    <w:rsid w:val="002A5BD4"/>
    <w:rsid w:val="00337656"/>
    <w:rsid w:val="00340CFF"/>
    <w:rsid w:val="0038319D"/>
    <w:rsid w:val="00423850"/>
    <w:rsid w:val="0044599F"/>
    <w:rsid w:val="004B3686"/>
    <w:rsid w:val="005A09E2"/>
    <w:rsid w:val="00644913"/>
    <w:rsid w:val="00664BCB"/>
    <w:rsid w:val="006A188E"/>
    <w:rsid w:val="007C1D58"/>
    <w:rsid w:val="0080690E"/>
    <w:rsid w:val="00810140"/>
    <w:rsid w:val="008115A7"/>
    <w:rsid w:val="008163E5"/>
    <w:rsid w:val="00834BB9"/>
    <w:rsid w:val="00850936"/>
    <w:rsid w:val="00877E76"/>
    <w:rsid w:val="008A0070"/>
    <w:rsid w:val="00905670"/>
    <w:rsid w:val="009147EF"/>
    <w:rsid w:val="009252E1"/>
    <w:rsid w:val="00945931"/>
    <w:rsid w:val="009766ED"/>
    <w:rsid w:val="009C56A6"/>
    <w:rsid w:val="00A113FC"/>
    <w:rsid w:val="00A8278D"/>
    <w:rsid w:val="00A858EC"/>
    <w:rsid w:val="00AA6C66"/>
    <w:rsid w:val="00AB52AF"/>
    <w:rsid w:val="00AC1195"/>
    <w:rsid w:val="00B641A4"/>
    <w:rsid w:val="00B814B4"/>
    <w:rsid w:val="00BA2E02"/>
    <w:rsid w:val="00BD2F24"/>
    <w:rsid w:val="00C07953"/>
    <w:rsid w:val="00C35111"/>
    <w:rsid w:val="00C92362"/>
    <w:rsid w:val="00DF7ABD"/>
    <w:rsid w:val="00EC7AD1"/>
    <w:rsid w:val="00ED6107"/>
    <w:rsid w:val="00F06DB9"/>
    <w:rsid w:val="00F11ED3"/>
    <w:rsid w:val="00F34CF3"/>
    <w:rsid w:val="00F737A3"/>
    <w:rsid w:val="00F74D27"/>
    <w:rsid w:val="00FA3E48"/>
    <w:rsid w:val="00FC52CF"/>
    <w:rsid w:val="00FE0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26DC"/>
  <w15:chartTrackingRefBased/>
  <w15:docId w15:val="{AA43FC1B-4BC7-4A32-A657-F675A994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3850"/>
    <w:pPr>
      <w:ind w:left="720"/>
      <w:contextualSpacing/>
    </w:pPr>
  </w:style>
  <w:style w:type="table" w:styleId="TableGrid">
    <w:name w:val="Table Grid"/>
    <w:basedOn w:val="TableNormal"/>
    <w:uiPriority w:val="39"/>
    <w:rsid w:val="0081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Joshi</dc:creator>
  <cp:keywords/>
  <dc:description/>
  <cp:lastModifiedBy>Harsha Joshi</cp:lastModifiedBy>
  <cp:revision>60</cp:revision>
  <dcterms:created xsi:type="dcterms:W3CDTF">2020-08-11T08:33:00Z</dcterms:created>
  <dcterms:modified xsi:type="dcterms:W3CDTF">2020-08-13T11:05:00Z</dcterms:modified>
</cp:coreProperties>
</file>