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785" w:rsidRPr="009E544D" w:rsidRDefault="000E0785" w:rsidP="002D5471">
      <w:pPr>
        <w:jc w:val="center"/>
        <w:rPr>
          <w:rFonts w:ascii="Times New Roman" w:hAnsi="Times New Roman" w:cs="Times New Roman"/>
          <w:b/>
        </w:rPr>
      </w:pPr>
    </w:p>
    <w:p w:rsidR="00650D8E" w:rsidRPr="009E544D" w:rsidRDefault="00F93D58" w:rsidP="002D5471">
      <w:pPr>
        <w:jc w:val="center"/>
        <w:rPr>
          <w:rFonts w:ascii="Times New Roman" w:hAnsi="Times New Roman" w:cs="Times New Roman"/>
          <w:b/>
        </w:rPr>
      </w:pPr>
      <w:r w:rsidRPr="00B93059">
        <w:rPr>
          <w:rFonts w:ascii="Times New Roman" w:hAnsi="Times New Roman" w:cs="Times New Roman"/>
          <w:b/>
          <w:bCs/>
        </w:rPr>
        <w:t xml:space="preserve">Expression of Interest for participating in an evaluation </w:t>
      </w:r>
      <w:r w:rsidR="00BE139C" w:rsidRPr="009E544D">
        <w:rPr>
          <w:rFonts w:ascii="Times New Roman" w:hAnsi="Times New Roman" w:cs="Times New Roman"/>
          <w:b/>
        </w:rPr>
        <w:t xml:space="preserve">of </w:t>
      </w:r>
      <w:r>
        <w:rPr>
          <w:rFonts w:ascii="Times New Roman" w:hAnsi="Times New Roman" w:cs="Times New Roman"/>
          <w:b/>
        </w:rPr>
        <w:t>i</w:t>
      </w:r>
      <w:r w:rsidR="00650D8E" w:rsidRPr="009E544D">
        <w:rPr>
          <w:rFonts w:ascii="Times New Roman" w:hAnsi="Times New Roman" w:cs="Times New Roman"/>
          <w:b/>
        </w:rPr>
        <w:t>mpact of L</w:t>
      </w:r>
      <w:r w:rsidR="00BE139C" w:rsidRPr="009E544D">
        <w:rPr>
          <w:rFonts w:ascii="Times New Roman" w:hAnsi="Times New Roman" w:cs="Times New Roman"/>
          <w:b/>
        </w:rPr>
        <w:t>ong Lasting Insecticidal Nets (L</w:t>
      </w:r>
      <w:r w:rsidR="00650D8E" w:rsidRPr="009E544D">
        <w:rPr>
          <w:rFonts w:ascii="Times New Roman" w:hAnsi="Times New Roman" w:cs="Times New Roman"/>
          <w:b/>
        </w:rPr>
        <w:t>LINs</w:t>
      </w:r>
      <w:r w:rsidR="00BE139C" w:rsidRPr="009E544D">
        <w:rPr>
          <w:rFonts w:ascii="Times New Roman" w:hAnsi="Times New Roman" w:cs="Times New Roman"/>
          <w:b/>
        </w:rPr>
        <w:t xml:space="preserve">) use </w:t>
      </w:r>
      <w:r w:rsidR="00650D8E" w:rsidRPr="009E544D">
        <w:rPr>
          <w:rFonts w:ascii="Times New Roman" w:hAnsi="Times New Roman" w:cs="Times New Roman"/>
          <w:b/>
        </w:rPr>
        <w:t>in the North Eastern States</w:t>
      </w:r>
      <w:r w:rsidR="00160B2A">
        <w:rPr>
          <w:rFonts w:ascii="Times New Roman" w:hAnsi="Times New Roman" w:cs="Times New Roman"/>
          <w:b/>
        </w:rPr>
        <w:t xml:space="preserve"> </w:t>
      </w:r>
    </w:p>
    <w:p w:rsidR="00650D8E" w:rsidRPr="009E544D" w:rsidRDefault="00650D8E" w:rsidP="00437F6D">
      <w:pPr>
        <w:jc w:val="both"/>
        <w:rPr>
          <w:rFonts w:ascii="Times New Roman" w:hAnsi="Times New Roman" w:cs="Times New Roman"/>
        </w:rPr>
      </w:pPr>
      <w:r w:rsidRPr="009E544D">
        <w:rPr>
          <w:rFonts w:ascii="Times New Roman" w:hAnsi="Times New Roman" w:cs="Times New Roman"/>
        </w:rPr>
        <w:t>The National Vector Borne Disease Control Programme (NVBDCP) is an umbrella Programme for prevention and contr</w:t>
      </w:r>
      <w:r w:rsidR="00647384" w:rsidRPr="009E544D">
        <w:rPr>
          <w:rFonts w:ascii="Times New Roman" w:hAnsi="Times New Roman" w:cs="Times New Roman"/>
        </w:rPr>
        <w:t xml:space="preserve">ol of </w:t>
      </w:r>
      <w:r w:rsidR="00BE139C" w:rsidRPr="009E544D">
        <w:rPr>
          <w:rFonts w:ascii="Times New Roman" w:hAnsi="Times New Roman" w:cs="Times New Roman"/>
        </w:rPr>
        <w:t xml:space="preserve">vector borne diseases, including Malaria. A key vector control measure is the use of </w:t>
      </w:r>
      <w:r w:rsidRPr="009E544D">
        <w:rPr>
          <w:rFonts w:ascii="Times New Roman" w:hAnsi="Times New Roman" w:cs="Times New Roman"/>
        </w:rPr>
        <w:t>Long lasting insecticidal net (LLIN)</w:t>
      </w:r>
      <w:r w:rsidR="00BE139C" w:rsidRPr="009E544D">
        <w:rPr>
          <w:rFonts w:ascii="Times New Roman" w:hAnsi="Times New Roman" w:cs="Times New Roman"/>
        </w:rPr>
        <w:t xml:space="preserve"> </w:t>
      </w:r>
      <w:r w:rsidRPr="009E544D">
        <w:rPr>
          <w:rFonts w:ascii="Times New Roman" w:hAnsi="Times New Roman" w:cs="Times New Roman"/>
        </w:rPr>
        <w:t>for protection of population at risk of malaria</w:t>
      </w:r>
      <w:r w:rsidR="00D1395A" w:rsidRPr="009E544D">
        <w:rPr>
          <w:rFonts w:ascii="Times New Roman" w:hAnsi="Times New Roman" w:cs="Times New Roman"/>
        </w:rPr>
        <w:t xml:space="preserve">, which were introduced in 2010 </w:t>
      </w:r>
      <w:r w:rsidRPr="009E544D">
        <w:rPr>
          <w:rFonts w:ascii="Times New Roman" w:hAnsi="Times New Roman" w:cs="Times New Roman"/>
        </w:rPr>
        <w:t>in th</w:t>
      </w:r>
      <w:r w:rsidR="00055900" w:rsidRPr="009E544D">
        <w:rPr>
          <w:rFonts w:ascii="Times New Roman" w:hAnsi="Times New Roman" w:cs="Times New Roman"/>
        </w:rPr>
        <w:t>e North East</w:t>
      </w:r>
      <w:r w:rsidR="00D1395A" w:rsidRPr="009E544D">
        <w:rPr>
          <w:rFonts w:ascii="Times New Roman" w:hAnsi="Times New Roman" w:cs="Times New Roman"/>
        </w:rPr>
        <w:t>ern</w:t>
      </w:r>
      <w:r w:rsidR="00055900" w:rsidRPr="009E544D">
        <w:rPr>
          <w:rFonts w:ascii="Times New Roman" w:hAnsi="Times New Roman" w:cs="Times New Roman"/>
        </w:rPr>
        <w:t xml:space="preserve"> states</w:t>
      </w:r>
      <w:r w:rsidRPr="009E544D">
        <w:rPr>
          <w:rFonts w:ascii="Times New Roman" w:hAnsi="Times New Roman" w:cs="Times New Roman"/>
        </w:rPr>
        <w:t xml:space="preserve">. </w:t>
      </w:r>
      <w:r w:rsidR="00EE4D4B" w:rsidRPr="009E544D">
        <w:rPr>
          <w:rFonts w:ascii="Times New Roman" w:hAnsi="Times New Roman" w:cs="Times New Roman"/>
        </w:rPr>
        <w:t>NHSRC proposes to undertake an evaluation to assess</w:t>
      </w:r>
      <w:r w:rsidRPr="009E544D">
        <w:rPr>
          <w:rFonts w:ascii="Times New Roman" w:hAnsi="Times New Roman" w:cs="Times New Roman"/>
        </w:rPr>
        <w:t xml:space="preserve"> the effectiveness of LLINs in reducing Malaria incidence in</w:t>
      </w:r>
      <w:r w:rsidR="004F6E12" w:rsidRPr="009E544D">
        <w:rPr>
          <w:rFonts w:ascii="Times New Roman" w:hAnsi="Times New Roman" w:cs="Times New Roman"/>
        </w:rPr>
        <w:t xml:space="preserve"> the</w:t>
      </w:r>
      <w:r w:rsidRPr="009E544D">
        <w:rPr>
          <w:rFonts w:ascii="Times New Roman" w:hAnsi="Times New Roman" w:cs="Times New Roman"/>
        </w:rPr>
        <w:t xml:space="preserve"> North East</w:t>
      </w:r>
      <w:r w:rsidR="00D1395A" w:rsidRPr="009E544D">
        <w:rPr>
          <w:rFonts w:ascii="Times New Roman" w:hAnsi="Times New Roman" w:cs="Times New Roman"/>
        </w:rPr>
        <w:t>ern states</w:t>
      </w:r>
      <w:r w:rsidRPr="009E544D">
        <w:rPr>
          <w:rFonts w:ascii="Times New Roman" w:hAnsi="Times New Roman" w:cs="Times New Roman"/>
        </w:rPr>
        <w:t>.</w:t>
      </w:r>
    </w:p>
    <w:p w:rsidR="00BE139C" w:rsidRPr="009E544D" w:rsidRDefault="00BE139C" w:rsidP="00BE139C">
      <w:pPr>
        <w:jc w:val="both"/>
        <w:rPr>
          <w:rFonts w:ascii="Times New Roman" w:hAnsi="Times New Roman" w:cs="Times New Roman"/>
        </w:rPr>
      </w:pPr>
      <w:r w:rsidRPr="009E544D">
        <w:rPr>
          <w:rFonts w:ascii="Times New Roman" w:hAnsi="Times New Roman" w:cs="Times New Roman"/>
        </w:rPr>
        <w:t>Prop</w:t>
      </w:r>
      <w:r w:rsidR="00055900" w:rsidRPr="009E544D">
        <w:rPr>
          <w:rFonts w:ascii="Times New Roman" w:hAnsi="Times New Roman" w:cs="Times New Roman"/>
        </w:rPr>
        <w:t>osals are invited from agencies</w:t>
      </w:r>
      <w:r w:rsidRPr="009E544D">
        <w:rPr>
          <w:rFonts w:ascii="Times New Roman" w:hAnsi="Times New Roman" w:cs="Times New Roman"/>
        </w:rPr>
        <w:t xml:space="preserve"> to </w:t>
      </w:r>
      <w:r w:rsidR="00055900" w:rsidRPr="009E544D">
        <w:rPr>
          <w:rFonts w:ascii="Times New Roman" w:hAnsi="Times New Roman" w:cs="Times New Roman"/>
        </w:rPr>
        <w:t xml:space="preserve">undertake an evaluation </w:t>
      </w:r>
      <w:r w:rsidRPr="009E544D">
        <w:rPr>
          <w:rFonts w:ascii="Times New Roman" w:hAnsi="Times New Roman" w:cs="Times New Roman"/>
        </w:rPr>
        <w:t>to assess the impact of Long Lasting Insec</w:t>
      </w:r>
      <w:r w:rsidR="00055900" w:rsidRPr="009E544D">
        <w:rPr>
          <w:rFonts w:ascii="Times New Roman" w:hAnsi="Times New Roman" w:cs="Times New Roman"/>
        </w:rPr>
        <w:t xml:space="preserve">ticide Nets (LLINs) </w:t>
      </w:r>
      <w:r w:rsidRPr="009E544D">
        <w:rPr>
          <w:rFonts w:ascii="Times New Roman" w:hAnsi="Times New Roman" w:cs="Times New Roman"/>
        </w:rPr>
        <w:t xml:space="preserve">on </w:t>
      </w:r>
      <w:r w:rsidR="00055900" w:rsidRPr="009E544D">
        <w:rPr>
          <w:rFonts w:ascii="Times New Roman" w:hAnsi="Times New Roman" w:cs="Times New Roman"/>
        </w:rPr>
        <w:t xml:space="preserve">the </w:t>
      </w:r>
      <w:r w:rsidRPr="009E544D">
        <w:rPr>
          <w:rFonts w:ascii="Times New Roman" w:hAnsi="Times New Roman" w:cs="Times New Roman"/>
        </w:rPr>
        <w:t>population</w:t>
      </w:r>
      <w:r w:rsidR="00055900" w:rsidRPr="009E544D">
        <w:rPr>
          <w:rFonts w:ascii="Times New Roman" w:hAnsi="Times New Roman" w:cs="Times New Roman"/>
        </w:rPr>
        <w:t xml:space="preserve">s residing in Malaria prone areas </w:t>
      </w:r>
      <w:r w:rsidRPr="009E544D">
        <w:rPr>
          <w:rFonts w:ascii="Times New Roman" w:hAnsi="Times New Roman" w:cs="Times New Roman"/>
        </w:rPr>
        <w:t>in the North Eastern States.</w:t>
      </w:r>
    </w:p>
    <w:p w:rsidR="00650D8E" w:rsidRPr="009E544D" w:rsidRDefault="00650D8E" w:rsidP="00437F6D">
      <w:pPr>
        <w:autoSpaceDE w:val="0"/>
        <w:autoSpaceDN w:val="0"/>
        <w:adjustRightInd w:val="0"/>
        <w:spacing w:after="0"/>
        <w:jc w:val="both"/>
        <w:rPr>
          <w:rFonts w:ascii="Times New Roman" w:hAnsi="Times New Roman" w:cs="Times New Roman"/>
          <w:b/>
        </w:rPr>
      </w:pPr>
      <w:r w:rsidRPr="009E544D">
        <w:rPr>
          <w:rFonts w:ascii="Times New Roman" w:hAnsi="Times New Roman" w:cs="Times New Roman"/>
          <w:b/>
        </w:rPr>
        <w:t>The key objectives of the study are as follows:</w:t>
      </w:r>
    </w:p>
    <w:p w:rsidR="00650D8E" w:rsidRPr="009E544D" w:rsidRDefault="00650D8E" w:rsidP="00437F6D">
      <w:pPr>
        <w:numPr>
          <w:ilvl w:val="0"/>
          <w:numId w:val="1"/>
        </w:numPr>
        <w:autoSpaceDE w:val="0"/>
        <w:autoSpaceDN w:val="0"/>
        <w:adjustRightInd w:val="0"/>
        <w:spacing w:after="0"/>
        <w:jc w:val="both"/>
        <w:rPr>
          <w:rFonts w:ascii="Times New Roman" w:hAnsi="Times New Roman" w:cs="Times New Roman"/>
        </w:rPr>
      </w:pPr>
      <w:r w:rsidRPr="009E544D">
        <w:rPr>
          <w:rFonts w:ascii="Times New Roman" w:hAnsi="Times New Roman" w:cs="Times New Roman"/>
        </w:rPr>
        <w:t xml:space="preserve">To assess the distribution, storage, usage and maintenance and retention of LLINs at the household level in NE states. </w:t>
      </w:r>
    </w:p>
    <w:p w:rsidR="00647384" w:rsidRPr="009E544D" w:rsidRDefault="00055900" w:rsidP="00647384">
      <w:pPr>
        <w:numPr>
          <w:ilvl w:val="0"/>
          <w:numId w:val="1"/>
        </w:numPr>
        <w:autoSpaceDE w:val="0"/>
        <w:autoSpaceDN w:val="0"/>
        <w:adjustRightInd w:val="0"/>
        <w:spacing w:after="0"/>
        <w:jc w:val="both"/>
        <w:rPr>
          <w:rFonts w:ascii="Times New Roman" w:hAnsi="Times New Roman" w:cs="Times New Roman"/>
        </w:rPr>
      </w:pPr>
      <w:r w:rsidRPr="009E544D">
        <w:rPr>
          <w:rFonts w:ascii="Times New Roman" w:hAnsi="Times New Roman" w:cs="Times New Roman"/>
        </w:rPr>
        <w:t xml:space="preserve">To assess behaviour change communication approaches undertaken by the health department </w:t>
      </w:r>
      <w:r w:rsidR="005B6E5D" w:rsidRPr="009E544D">
        <w:rPr>
          <w:rFonts w:ascii="Times New Roman" w:hAnsi="Times New Roman" w:cs="Times New Roman"/>
        </w:rPr>
        <w:t>before, during</w:t>
      </w:r>
      <w:r w:rsidR="00647384" w:rsidRPr="009E544D">
        <w:rPr>
          <w:rFonts w:ascii="Times New Roman" w:hAnsi="Times New Roman" w:cs="Times New Roman"/>
        </w:rPr>
        <w:t xml:space="preserve"> and after distribution of LLIN.</w:t>
      </w:r>
    </w:p>
    <w:p w:rsidR="00650D8E" w:rsidRPr="009E544D" w:rsidRDefault="00650D8E" w:rsidP="00437F6D">
      <w:pPr>
        <w:numPr>
          <w:ilvl w:val="0"/>
          <w:numId w:val="1"/>
        </w:numPr>
        <w:autoSpaceDE w:val="0"/>
        <w:autoSpaceDN w:val="0"/>
        <w:adjustRightInd w:val="0"/>
        <w:spacing w:after="0"/>
        <w:jc w:val="both"/>
        <w:rPr>
          <w:rFonts w:ascii="Times New Roman" w:hAnsi="Times New Roman" w:cs="Times New Roman"/>
        </w:rPr>
      </w:pPr>
      <w:r w:rsidRPr="009E544D">
        <w:rPr>
          <w:rFonts w:ascii="Times New Roman" w:hAnsi="Times New Roman" w:cs="Times New Roman"/>
        </w:rPr>
        <w:t xml:space="preserve">To assess the knowledge, attitude and behavioral practices related to LLINs usage in the community (including </w:t>
      </w:r>
      <w:r w:rsidR="00055900" w:rsidRPr="009E544D">
        <w:rPr>
          <w:rFonts w:ascii="Times New Roman" w:hAnsi="Times New Roman" w:cs="Times New Roman"/>
        </w:rPr>
        <w:t xml:space="preserve">among </w:t>
      </w:r>
      <w:r w:rsidRPr="009E544D">
        <w:rPr>
          <w:rFonts w:ascii="Times New Roman" w:hAnsi="Times New Roman" w:cs="Times New Roman"/>
        </w:rPr>
        <w:t>pregnant mothers).</w:t>
      </w:r>
    </w:p>
    <w:p w:rsidR="00650D8E" w:rsidRPr="009E544D" w:rsidRDefault="00650D8E" w:rsidP="00437F6D">
      <w:pPr>
        <w:numPr>
          <w:ilvl w:val="0"/>
          <w:numId w:val="1"/>
        </w:numPr>
        <w:autoSpaceDE w:val="0"/>
        <w:autoSpaceDN w:val="0"/>
        <w:adjustRightInd w:val="0"/>
        <w:spacing w:after="0"/>
        <w:jc w:val="both"/>
        <w:rPr>
          <w:rFonts w:ascii="Times New Roman" w:hAnsi="Times New Roman" w:cs="Times New Roman"/>
        </w:rPr>
      </w:pPr>
      <w:r w:rsidRPr="009E544D">
        <w:rPr>
          <w:rFonts w:ascii="Times New Roman" w:hAnsi="Times New Roman" w:cs="Times New Roman"/>
        </w:rPr>
        <w:t>To asse</w:t>
      </w:r>
      <w:r w:rsidR="00055900" w:rsidRPr="009E544D">
        <w:rPr>
          <w:rFonts w:ascii="Times New Roman" w:hAnsi="Times New Roman" w:cs="Times New Roman"/>
        </w:rPr>
        <w:t xml:space="preserve">ss the effectiveness of </w:t>
      </w:r>
      <w:r w:rsidRPr="009E544D">
        <w:rPr>
          <w:rFonts w:ascii="Times New Roman" w:hAnsi="Times New Roman" w:cs="Times New Roman"/>
        </w:rPr>
        <w:t>monitoring</w:t>
      </w:r>
      <w:r w:rsidR="00055900" w:rsidRPr="009E544D">
        <w:rPr>
          <w:rFonts w:ascii="Times New Roman" w:hAnsi="Times New Roman" w:cs="Times New Roman"/>
        </w:rPr>
        <w:t>, reporting and analysis of data related to</w:t>
      </w:r>
      <w:r w:rsidRPr="009E544D">
        <w:rPr>
          <w:rFonts w:ascii="Times New Roman" w:hAnsi="Times New Roman" w:cs="Times New Roman"/>
        </w:rPr>
        <w:t xml:space="preserve"> the utilization of LLINs at community level.</w:t>
      </w:r>
    </w:p>
    <w:p w:rsidR="00650D8E" w:rsidRPr="009E544D" w:rsidRDefault="00650D8E" w:rsidP="00437F6D">
      <w:pPr>
        <w:numPr>
          <w:ilvl w:val="0"/>
          <w:numId w:val="1"/>
        </w:numPr>
        <w:autoSpaceDE w:val="0"/>
        <w:autoSpaceDN w:val="0"/>
        <w:adjustRightInd w:val="0"/>
        <w:spacing w:after="0"/>
        <w:jc w:val="both"/>
        <w:rPr>
          <w:rFonts w:ascii="Times New Roman" w:hAnsi="Times New Roman" w:cs="Times New Roman"/>
        </w:rPr>
      </w:pPr>
      <w:r w:rsidRPr="009E544D">
        <w:rPr>
          <w:rFonts w:ascii="Times New Roman" w:hAnsi="Times New Roman" w:cs="Times New Roman"/>
        </w:rPr>
        <w:t>To assess the impact of LLIN intervention on reduction of malaria incidence</w:t>
      </w:r>
    </w:p>
    <w:p w:rsidR="00D1395A" w:rsidRPr="009E544D" w:rsidRDefault="00D1395A" w:rsidP="005B6E5D">
      <w:pPr>
        <w:autoSpaceDE w:val="0"/>
        <w:autoSpaceDN w:val="0"/>
        <w:adjustRightInd w:val="0"/>
        <w:spacing w:after="0"/>
        <w:jc w:val="both"/>
        <w:rPr>
          <w:rFonts w:ascii="Times New Roman" w:hAnsi="Times New Roman" w:cs="Times New Roman"/>
          <w:lang w:val="en-IN"/>
        </w:rPr>
      </w:pPr>
    </w:p>
    <w:p w:rsidR="00650D8E" w:rsidRPr="009E544D" w:rsidRDefault="00650D8E" w:rsidP="005B6E5D">
      <w:pPr>
        <w:autoSpaceDE w:val="0"/>
        <w:autoSpaceDN w:val="0"/>
        <w:adjustRightInd w:val="0"/>
        <w:spacing w:after="0"/>
        <w:jc w:val="both"/>
        <w:rPr>
          <w:rFonts w:ascii="Times New Roman" w:hAnsi="Times New Roman" w:cs="Times New Roman"/>
          <w:lang w:val="en-IN"/>
        </w:rPr>
      </w:pPr>
      <w:r w:rsidRPr="009E544D">
        <w:rPr>
          <w:rFonts w:ascii="Times New Roman" w:hAnsi="Times New Roman" w:cs="Times New Roman"/>
          <w:lang w:val="en-IN"/>
        </w:rPr>
        <w:t>The overall methodology for this study would be a mixed method</w:t>
      </w:r>
      <w:r w:rsidR="00866A29" w:rsidRPr="009E544D">
        <w:rPr>
          <w:rFonts w:ascii="Times New Roman" w:hAnsi="Times New Roman" w:cs="Times New Roman"/>
          <w:lang w:val="en-IN"/>
        </w:rPr>
        <w:t>s</w:t>
      </w:r>
      <w:r w:rsidRPr="009E544D">
        <w:rPr>
          <w:rFonts w:ascii="Times New Roman" w:hAnsi="Times New Roman" w:cs="Times New Roman"/>
          <w:lang w:val="en-IN"/>
        </w:rPr>
        <w:t xml:space="preserve"> approach</w:t>
      </w:r>
      <w:r w:rsidR="00866A29" w:rsidRPr="009E544D">
        <w:rPr>
          <w:rFonts w:ascii="Times New Roman" w:hAnsi="Times New Roman" w:cs="Times New Roman"/>
          <w:lang w:val="en-IN"/>
        </w:rPr>
        <w:t xml:space="preserve">, using </w:t>
      </w:r>
      <w:r w:rsidRPr="009E544D">
        <w:rPr>
          <w:rFonts w:ascii="Times New Roman" w:hAnsi="Times New Roman" w:cs="Times New Roman"/>
          <w:lang w:val="en-IN"/>
        </w:rPr>
        <w:t>primary and secon</w:t>
      </w:r>
      <w:r w:rsidR="00866A29" w:rsidRPr="009E544D">
        <w:rPr>
          <w:rFonts w:ascii="Times New Roman" w:hAnsi="Times New Roman" w:cs="Times New Roman"/>
          <w:lang w:val="en-IN"/>
        </w:rPr>
        <w:t>dary data analysis</w:t>
      </w:r>
      <w:r w:rsidRPr="009E544D">
        <w:rPr>
          <w:rFonts w:ascii="Times New Roman" w:hAnsi="Times New Roman" w:cs="Times New Roman"/>
          <w:lang w:val="en-IN"/>
        </w:rPr>
        <w:t>. Primary data would include both qualitative and quantitative components . Data wou</w:t>
      </w:r>
      <w:r w:rsidR="00866A29" w:rsidRPr="009E544D">
        <w:rPr>
          <w:rFonts w:ascii="Times New Roman" w:hAnsi="Times New Roman" w:cs="Times New Roman"/>
          <w:lang w:val="en-IN"/>
        </w:rPr>
        <w:t xml:space="preserve">ld be collected from beneficiaries </w:t>
      </w:r>
      <w:r w:rsidR="00055900" w:rsidRPr="009E544D">
        <w:rPr>
          <w:rFonts w:ascii="Times New Roman" w:hAnsi="Times New Roman" w:cs="Times New Roman"/>
          <w:lang w:val="en-IN"/>
        </w:rPr>
        <w:t xml:space="preserve">and </w:t>
      </w:r>
      <w:r w:rsidRPr="009E544D">
        <w:rPr>
          <w:rFonts w:ascii="Times New Roman" w:hAnsi="Times New Roman" w:cs="Times New Roman"/>
          <w:lang w:val="en-IN"/>
        </w:rPr>
        <w:t xml:space="preserve">service providers at </w:t>
      </w:r>
      <w:r w:rsidR="00866A29" w:rsidRPr="009E544D">
        <w:rPr>
          <w:rFonts w:ascii="Times New Roman" w:hAnsi="Times New Roman" w:cs="Times New Roman"/>
          <w:lang w:val="en-IN"/>
        </w:rPr>
        <w:t>different</w:t>
      </w:r>
      <w:r w:rsidRPr="009E544D">
        <w:rPr>
          <w:rFonts w:ascii="Times New Roman" w:hAnsi="Times New Roman" w:cs="Times New Roman"/>
          <w:lang w:val="en-IN"/>
        </w:rPr>
        <w:t xml:space="preserve"> levels.</w:t>
      </w:r>
      <w:r w:rsidR="00866A29" w:rsidRPr="009E544D">
        <w:rPr>
          <w:rFonts w:ascii="Times New Roman" w:hAnsi="Times New Roman" w:cs="Times New Roman"/>
          <w:lang w:val="en-IN"/>
        </w:rPr>
        <w:t xml:space="preserve">  </w:t>
      </w:r>
      <w:r w:rsidRPr="009E544D">
        <w:rPr>
          <w:rFonts w:ascii="Times New Roman" w:hAnsi="Times New Roman" w:cs="Times New Roman"/>
          <w:lang w:val="en-IN"/>
        </w:rPr>
        <w:t>Secondary data analysis would involve desk revi</w:t>
      </w:r>
      <w:r w:rsidR="007B1BD0">
        <w:rPr>
          <w:rFonts w:ascii="Times New Roman" w:hAnsi="Times New Roman" w:cs="Times New Roman"/>
          <w:lang w:val="en-IN"/>
        </w:rPr>
        <w:t xml:space="preserve">ew of </w:t>
      </w:r>
      <w:r w:rsidR="00055900" w:rsidRPr="009E544D">
        <w:rPr>
          <w:rFonts w:ascii="Times New Roman" w:hAnsi="Times New Roman" w:cs="Times New Roman"/>
          <w:lang w:val="en-IN"/>
        </w:rPr>
        <w:t xml:space="preserve">programme </w:t>
      </w:r>
      <w:r w:rsidR="00866A29" w:rsidRPr="009E544D">
        <w:rPr>
          <w:rFonts w:ascii="Times New Roman" w:hAnsi="Times New Roman" w:cs="Times New Roman"/>
          <w:lang w:val="en-IN"/>
        </w:rPr>
        <w:t xml:space="preserve">data to assess effectiveness of </w:t>
      </w:r>
      <w:r w:rsidRPr="009E544D">
        <w:rPr>
          <w:rFonts w:ascii="Times New Roman" w:hAnsi="Times New Roman" w:cs="Times New Roman"/>
          <w:lang w:val="en-IN"/>
        </w:rPr>
        <w:t>prog</w:t>
      </w:r>
      <w:r w:rsidR="00647384" w:rsidRPr="009E544D">
        <w:rPr>
          <w:rFonts w:ascii="Times New Roman" w:hAnsi="Times New Roman" w:cs="Times New Roman"/>
          <w:lang w:val="en-IN"/>
        </w:rPr>
        <w:t>ram</w:t>
      </w:r>
      <w:r w:rsidR="00866A29" w:rsidRPr="009E544D">
        <w:rPr>
          <w:rFonts w:ascii="Times New Roman" w:hAnsi="Times New Roman" w:cs="Times New Roman"/>
          <w:lang w:val="en-IN"/>
        </w:rPr>
        <w:t xml:space="preserve">me </w:t>
      </w:r>
      <w:r w:rsidR="00647384" w:rsidRPr="009E544D">
        <w:rPr>
          <w:rFonts w:ascii="Times New Roman" w:hAnsi="Times New Roman" w:cs="Times New Roman"/>
          <w:lang w:val="en-IN"/>
        </w:rPr>
        <w:t>implementation</w:t>
      </w:r>
      <w:r w:rsidR="00866A29" w:rsidRPr="009E544D">
        <w:rPr>
          <w:rFonts w:ascii="Times New Roman" w:hAnsi="Times New Roman" w:cs="Times New Roman"/>
          <w:lang w:val="en-IN"/>
        </w:rPr>
        <w:t xml:space="preserve"> related to use of LLIN and </w:t>
      </w:r>
      <w:r w:rsidR="00647384" w:rsidRPr="009E544D">
        <w:rPr>
          <w:rFonts w:ascii="Times New Roman" w:hAnsi="Times New Roman" w:cs="Times New Roman"/>
          <w:lang w:val="en-IN"/>
        </w:rPr>
        <w:t>Malaria</w:t>
      </w:r>
      <w:r w:rsidR="00866A29" w:rsidRPr="009E544D">
        <w:rPr>
          <w:rFonts w:ascii="Times New Roman" w:hAnsi="Times New Roman" w:cs="Times New Roman"/>
          <w:lang w:val="en-IN"/>
        </w:rPr>
        <w:t xml:space="preserve"> incidence</w:t>
      </w:r>
      <w:r w:rsidR="00647384" w:rsidRPr="009E544D">
        <w:rPr>
          <w:rFonts w:ascii="Times New Roman" w:hAnsi="Times New Roman" w:cs="Times New Roman"/>
          <w:lang w:val="en-IN"/>
        </w:rPr>
        <w:t>.</w:t>
      </w:r>
      <w:r w:rsidR="00D1395A" w:rsidRPr="009E544D">
        <w:rPr>
          <w:rFonts w:ascii="Times New Roman" w:hAnsi="Times New Roman" w:cs="Times New Roman"/>
          <w:lang w:val="en-IN"/>
        </w:rPr>
        <w:t xml:space="preserve"> The study would be conducted in selected districts of the NE states. The TOR of the evaluation is at annexure 1. </w:t>
      </w:r>
    </w:p>
    <w:p w:rsidR="00696A45" w:rsidRPr="009E544D" w:rsidRDefault="00696A45" w:rsidP="00437F6D">
      <w:pPr>
        <w:autoSpaceDE w:val="0"/>
        <w:autoSpaceDN w:val="0"/>
        <w:adjustRightInd w:val="0"/>
        <w:spacing w:after="0"/>
        <w:jc w:val="both"/>
        <w:rPr>
          <w:rFonts w:ascii="Times New Roman" w:hAnsi="Times New Roman" w:cs="Times New Roman"/>
          <w:b/>
          <w:lang w:val="en-IN"/>
        </w:rPr>
      </w:pPr>
      <w:bookmarkStart w:id="0" w:name="_Hlk480190137"/>
    </w:p>
    <w:p w:rsidR="000E0785" w:rsidRPr="009E544D" w:rsidRDefault="000E0785" w:rsidP="000E0785">
      <w:pPr>
        <w:spacing w:line="240" w:lineRule="auto"/>
        <w:jc w:val="both"/>
        <w:rPr>
          <w:rFonts w:ascii="Times New Roman" w:hAnsi="Times New Roman" w:cs="Times New Roman"/>
        </w:rPr>
      </w:pPr>
      <w:r w:rsidRPr="009E544D">
        <w:rPr>
          <w:rFonts w:ascii="Times New Roman" w:hAnsi="Times New Roman" w:cs="Times New Roman"/>
        </w:rPr>
        <w:t xml:space="preserve">Organizations with a credible track record of conducting evaluations are encouraged to apply. Research organizations, academic institutions and NGOs can apply.  A consortium of two or more agencies with a complementary skill mix would also be considered </w:t>
      </w:r>
    </w:p>
    <w:p w:rsidR="000D42AA" w:rsidRPr="009E544D" w:rsidRDefault="00CD0260" w:rsidP="000D42AA">
      <w:pPr>
        <w:autoSpaceDE w:val="0"/>
        <w:autoSpaceDN w:val="0"/>
        <w:adjustRightInd w:val="0"/>
        <w:spacing w:after="0"/>
        <w:jc w:val="both"/>
        <w:rPr>
          <w:rFonts w:ascii="Times New Roman" w:hAnsi="Times New Roman" w:cs="Times New Roman"/>
        </w:rPr>
      </w:pPr>
      <w:r w:rsidRPr="009E544D">
        <w:rPr>
          <w:rFonts w:ascii="Times New Roman" w:hAnsi="Times New Roman" w:cs="Times New Roman"/>
        </w:rPr>
        <w:t xml:space="preserve">The agency is expected to develop study tools for field survey and qualitative phase, conduct data collection and analysis, prepare draft reports for discussion and finalize the reports in consultation with NHSRC and </w:t>
      </w:r>
      <w:r w:rsidR="000D42AA" w:rsidRPr="009E544D">
        <w:rPr>
          <w:rFonts w:ascii="Times New Roman" w:hAnsi="Times New Roman" w:cs="Times New Roman"/>
        </w:rPr>
        <w:t>National Vector Borne Disease Control Programme (NVBDCP)</w:t>
      </w:r>
      <w:r w:rsidRPr="009E544D">
        <w:rPr>
          <w:rFonts w:ascii="Times New Roman" w:hAnsi="Times New Roman" w:cs="Times New Roman"/>
        </w:rPr>
        <w:t xml:space="preserve"> Division. </w:t>
      </w:r>
      <w:r w:rsidR="000D42AA" w:rsidRPr="009E544D">
        <w:rPr>
          <w:rFonts w:ascii="Times New Roman" w:hAnsi="Times New Roman" w:cs="Times New Roman"/>
        </w:rPr>
        <w:t xml:space="preserve">The stipulated timelines for the completion of the study is around six months from the date of signing of contract. </w:t>
      </w:r>
    </w:p>
    <w:p w:rsidR="00CD0260" w:rsidRPr="009E544D" w:rsidRDefault="00CD0260" w:rsidP="00CD0260">
      <w:pPr>
        <w:autoSpaceDE w:val="0"/>
        <w:autoSpaceDN w:val="0"/>
        <w:adjustRightInd w:val="0"/>
        <w:spacing w:after="0"/>
        <w:jc w:val="both"/>
        <w:rPr>
          <w:rFonts w:ascii="Times New Roman" w:hAnsi="Times New Roman" w:cs="Times New Roman"/>
        </w:rPr>
      </w:pPr>
    </w:p>
    <w:bookmarkEnd w:id="0"/>
    <w:p w:rsidR="00D1395A" w:rsidRPr="009E544D" w:rsidRDefault="00D1395A" w:rsidP="007D2DCD">
      <w:pPr>
        <w:jc w:val="both"/>
        <w:rPr>
          <w:rFonts w:ascii="Times New Roman" w:hAnsi="Times New Roman" w:cs="Times New Roman"/>
        </w:rPr>
      </w:pPr>
      <w:r w:rsidRPr="009E544D">
        <w:rPr>
          <w:rFonts w:ascii="Times New Roman" w:hAnsi="Times New Roman" w:cs="Times New Roman"/>
        </w:rPr>
        <w:t xml:space="preserve">The application should include - </w:t>
      </w:r>
    </w:p>
    <w:p w:rsidR="00975839" w:rsidRDefault="00BA6DA4" w:rsidP="00975839">
      <w:pPr>
        <w:jc w:val="both"/>
        <w:rPr>
          <w:rFonts w:ascii="Times New Roman" w:hAnsi="Times New Roman" w:cs="Times New Roman"/>
        </w:rPr>
      </w:pPr>
      <w:r w:rsidRPr="00B93059">
        <w:rPr>
          <w:rFonts w:ascii="Times New Roman" w:hAnsi="Times New Roman" w:cs="Times New Roman"/>
        </w:rPr>
        <w:t xml:space="preserve">1. </w:t>
      </w:r>
      <w:r w:rsidR="00975839">
        <w:rPr>
          <w:rFonts w:ascii="Times New Roman" w:hAnsi="Times New Roman" w:cs="Times New Roman"/>
        </w:rPr>
        <w:t xml:space="preserve">Proposal for conducting the evaluation with detailed methodology, sample size, data collection and  analysis protocols. </w:t>
      </w:r>
    </w:p>
    <w:p w:rsidR="00BA6DA4" w:rsidRPr="00B93059" w:rsidRDefault="00BA6DA4" w:rsidP="00BA6DA4">
      <w:pPr>
        <w:jc w:val="both"/>
        <w:rPr>
          <w:rFonts w:ascii="Times New Roman" w:hAnsi="Times New Roman" w:cs="Times New Roman"/>
        </w:rPr>
      </w:pPr>
      <w:r>
        <w:rPr>
          <w:rFonts w:ascii="Times New Roman" w:hAnsi="Times New Roman" w:cs="Times New Roman"/>
        </w:rPr>
        <w:t xml:space="preserve">2. </w:t>
      </w:r>
      <w:r w:rsidRPr="00B93059">
        <w:rPr>
          <w:rFonts w:ascii="Times New Roman" w:hAnsi="Times New Roman" w:cs="Times New Roman"/>
        </w:rPr>
        <w:t xml:space="preserve">Background of organization, nature of organization, list of board members, demonstration of the necessary skill mix, experience, project management budgets handled, and infrastructure (for data management- data entry and analysis); </w:t>
      </w:r>
    </w:p>
    <w:p w:rsidR="00BA6DA4" w:rsidRPr="00B93059" w:rsidRDefault="00BA6DA4" w:rsidP="00BA6DA4">
      <w:pPr>
        <w:jc w:val="both"/>
        <w:rPr>
          <w:rFonts w:ascii="Times New Roman" w:hAnsi="Times New Roman" w:cs="Times New Roman"/>
        </w:rPr>
      </w:pPr>
      <w:r>
        <w:rPr>
          <w:rFonts w:ascii="Times New Roman" w:hAnsi="Times New Roman" w:cs="Times New Roman"/>
        </w:rPr>
        <w:lastRenderedPageBreak/>
        <w:t xml:space="preserve">3. </w:t>
      </w:r>
      <w:r w:rsidRPr="00B93059">
        <w:rPr>
          <w:rFonts w:ascii="Times New Roman" w:hAnsi="Times New Roman" w:cs="Times New Roman"/>
        </w:rPr>
        <w:t xml:space="preserve"> Details of past experience in conducting research, brief description of nature of research (topic and methodology) and outcomes (publications, dissemination) undertaken in last five years, details of research staff- (in house or demonstrate access to experts on a reliable basis), demonstrate track record of the research team, in data analysis and advanced writing skills. </w:t>
      </w:r>
    </w:p>
    <w:p w:rsidR="00BA6DA4" w:rsidRDefault="00BA6DA4" w:rsidP="00BA6DA4">
      <w:pPr>
        <w:jc w:val="both"/>
        <w:rPr>
          <w:rFonts w:ascii="Times New Roman" w:hAnsi="Times New Roman" w:cs="Times New Roman"/>
        </w:rPr>
      </w:pPr>
      <w:r>
        <w:rPr>
          <w:rFonts w:ascii="Times New Roman" w:hAnsi="Times New Roman" w:cs="Times New Roman"/>
        </w:rPr>
        <w:t xml:space="preserve">4. </w:t>
      </w:r>
      <w:r w:rsidRPr="00B93059">
        <w:rPr>
          <w:rFonts w:ascii="Times New Roman" w:hAnsi="Times New Roman" w:cs="Times New Roman"/>
        </w:rPr>
        <w:t>Copies of the most relevant work in recent years, preferably conducted by the researcher teams who are currently in place.</w:t>
      </w:r>
    </w:p>
    <w:p w:rsidR="007479AE" w:rsidRPr="00B93059" w:rsidRDefault="007479AE" w:rsidP="007479AE">
      <w:pPr>
        <w:jc w:val="both"/>
        <w:rPr>
          <w:rFonts w:ascii="Times New Roman" w:hAnsi="Times New Roman" w:cs="Times New Roman"/>
        </w:rPr>
      </w:pPr>
      <w:r>
        <w:rPr>
          <w:rFonts w:ascii="Times New Roman" w:hAnsi="Times New Roman" w:cs="Times New Roman"/>
        </w:rPr>
        <w:t>5.Agency should give details of Firm/Institution s Registration, Copy of Service tax registration if applicable, Copy of PAN Card and Copy of last three years IT return.</w:t>
      </w:r>
    </w:p>
    <w:p w:rsidR="00D1395A" w:rsidRPr="009E544D" w:rsidRDefault="00D1395A">
      <w:pPr>
        <w:jc w:val="both"/>
        <w:rPr>
          <w:rFonts w:ascii="Times New Roman" w:hAnsi="Times New Roman" w:cs="Times New Roman"/>
        </w:rPr>
      </w:pPr>
      <w:r w:rsidRPr="009E544D">
        <w:rPr>
          <w:rFonts w:ascii="Times New Roman" w:hAnsi="Times New Roman" w:cs="Times New Roman"/>
        </w:rPr>
        <w:t>The last date</w:t>
      </w:r>
      <w:r w:rsidR="003C6E83">
        <w:rPr>
          <w:rFonts w:ascii="Times New Roman" w:hAnsi="Times New Roman" w:cs="Times New Roman"/>
        </w:rPr>
        <w:t xml:space="preserve"> for receipt of applications is June 2</w:t>
      </w:r>
      <w:r w:rsidR="00486317">
        <w:rPr>
          <w:rFonts w:ascii="Times New Roman" w:hAnsi="Times New Roman" w:cs="Times New Roman"/>
        </w:rPr>
        <w:t>0</w:t>
      </w:r>
      <w:bookmarkStart w:id="1" w:name="_GoBack"/>
      <w:bookmarkEnd w:id="1"/>
      <w:r w:rsidR="003C6E83" w:rsidRPr="003C6E83">
        <w:rPr>
          <w:rFonts w:ascii="Times New Roman" w:hAnsi="Times New Roman" w:cs="Times New Roman"/>
          <w:vertAlign w:val="superscript"/>
        </w:rPr>
        <w:t>th</w:t>
      </w:r>
      <w:r w:rsidR="003C6E83">
        <w:rPr>
          <w:rFonts w:ascii="Times New Roman" w:hAnsi="Times New Roman" w:cs="Times New Roman"/>
        </w:rPr>
        <w:t xml:space="preserve">, </w:t>
      </w:r>
      <w:r w:rsidR="007479AE" w:rsidRPr="00B93059">
        <w:rPr>
          <w:rFonts w:ascii="Times New Roman" w:hAnsi="Times New Roman" w:cs="Times New Roman"/>
        </w:rPr>
        <w:t>2017</w:t>
      </w:r>
      <w:r w:rsidRPr="009E544D">
        <w:rPr>
          <w:rFonts w:ascii="Times New Roman" w:hAnsi="Times New Roman" w:cs="Times New Roman"/>
        </w:rPr>
        <w:t>.  Applications may be sent to The PAO, National Health Systems Resource Centre, NIHFW, Baba Gangnath Marg, Munirka, New Delhi -110067.</w:t>
      </w:r>
    </w:p>
    <w:p w:rsidR="00D1395A" w:rsidRPr="009E544D" w:rsidRDefault="00D1395A" w:rsidP="007D2DCD">
      <w:pPr>
        <w:autoSpaceDE w:val="0"/>
        <w:autoSpaceDN w:val="0"/>
        <w:adjustRightInd w:val="0"/>
        <w:spacing w:after="0"/>
        <w:jc w:val="both"/>
        <w:rPr>
          <w:rFonts w:ascii="Times New Roman" w:hAnsi="Times New Roman" w:cs="Times New Roman"/>
          <w:b/>
          <w:lang w:val="en-IN"/>
        </w:rPr>
      </w:pPr>
    </w:p>
    <w:p w:rsidR="00650D8E" w:rsidRPr="009E544D" w:rsidRDefault="00650D8E" w:rsidP="007D2DCD">
      <w:pPr>
        <w:spacing w:after="0"/>
        <w:jc w:val="both"/>
        <w:rPr>
          <w:rFonts w:ascii="Times New Roman" w:eastAsia="Times New Roman" w:hAnsi="Times New Roman" w:cs="Times New Roman"/>
          <w:lang w:val="en-IN"/>
        </w:rPr>
      </w:pPr>
    </w:p>
    <w:p w:rsidR="0082724A" w:rsidRPr="009E544D" w:rsidRDefault="0082724A">
      <w:pPr>
        <w:spacing w:after="0" w:line="240" w:lineRule="auto"/>
        <w:rPr>
          <w:rFonts w:ascii="Times New Roman" w:hAnsi="Times New Roman" w:cs="Times New Roman"/>
          <w:b/>
        </w:rPr>
      </w:pPr>
      <w:r w:rsidRPr="009E544D">
        <w:rPr>
          <w:rFonts w:ascii="Times New Roman" w:hAnsi="Times New Roman" w:cs="Times New Roman"/>
          <w:b/>
        </w:rPr>
        <w:br w:type="page"/>
      </w:r>
    </w:p>
    <w:p w:rsidR="0082724A" w:rsidRPr="009E544D" w:rsidRDefault="0082724A" w:rsidP="007D2DCD">
      <w:pPr>
        <w:jc w:val="center"/>
        <w:rPr>
          <w:rFonts w:ascii="Times New Roman" w:hAnsi="Times New Roman" w:cs="Times New Roman"/>
          <w:b/>
        </w:rPr>
      </w:pPr>
    </w:p>
    <w:p w:rsidR="0082724A" w:rsidRPr="009E544D" w:rsidRDefault="0082724A" w:rsidP="007D2DCD">
      <w:pPr>
        <w:jc w:val="center"/>
        <w:rPr>
          <w:rFonts w:ascii="Times New Roman" w:hAnsi="Times New Roman" w:cs="Times New Roman"/>
          <w:b/>
        </w:rPr>
      </w:pPr>
      <w:r w:rsidRPr="009E544D">
        <w:rPr>
          <w:rFonts w:ascii="Times New Roman" w:hAnsi="Times New Roman" w:cs="Times New Roman"/>
          <w:b/>
        </w:rPr>
        <w:t>Annexure 1</w:t>
      </w:r>
    </w:p>
    <w:p w:rsidR="0082724A" w:rsidRPr="009E544D" w:rsidRDefault="0082724A" w:rsidP="0082724A">
      <w:pPr>
        <w:jc w:val="center"/>
        <w:rPr>
          <w:rFonts w:ascii="Times New Roman" w:hAnsi="Times New Roman" w:cs="Times New Roman"/>
          <w:b/>
        </w:rPr>
      </w:pPr>
      <w:r w:rsidRPr="009E544D">
        <w:rPr>
          <w:rFonts w:ascii="Times New Roman" w:hAnsi="Times New Roman" w:cs="Times New Roman"/>
          <w:b/>
        </w:rPr>
        <w:t xml:space="preserve">Evaluation of  Impact of LLINs Intervention in the North Eastern States- Terms of Reference </w:t>
      </w:r>
    </w:p>
    <w:p w:rsidR="0082724A" w:rsidRPr="009E544D" w:rsidRDefault="0082724A" w:rsidP="0082724A">
      <w:pPr>
        <w:jc w:val="both"/>
        <w:rPr>
          <w:rFonts w:ascii="Times New Roman" w:hAnsi="Times New Roman" w:cs="Times New Roman"/>
          <w:b/>
        </w:rPr>
      </w:pPr>
      <w:r w:rsidRPr="009E544D">
        <w:rPr>
          <w:rFonts w:ascii="Times New Roman" w:hAnsi="Times New Roman" w:cs="Times New Roman"/>
          <w:b/>
        </w:rPr>
        <w:t>Background</w:t>
      </w:r>
    </w:p>
    <w:p w:rsidR="0082724A" w:rsidRPr="009E544D" w:rsidRDefault="0082724A" w:rsidP="0082724A">
      <w:pPr>
        <w:jc w:val="both"/>
        <w:rPr>
          <w:rFonts w:ascii="Times New Roman" w:hAnsi="Times New Roman" w:cs="Times New Roman"/>
        </w:rPr>
      </w:pPr>
      <w:r w:rsidRPr="009E544D">
        <w:rPr>
          <w:rFonts w:ascii="Times New Roman" w:hAnsi="Times New Roman" w:cs="Times New Roman"/>
        </w:rPr>
        <w:t xml:space="preserve">The National Vector Borne Disease Control Programme (NVBDCP) is an umbrella programme for prevention and control of vector borne diseases viz. Malaria, Japanese Encephalitis (JE), Dengue, Chikungunya, Kala-azar and Lymphatic Filariasis. </w:t>
      </w:r>
    </w:p>
    <w:p w:rsidR="0082724A" w:rsidRPr="009E544D" w:rsidRDefault="0082724A" w:rsidP="0082724A">
      <w:pPr>
        <w:pStyle w:val="Default"/>
        <w:spacing w:line="276" w:lineRule="auto"/>
        <w:jc w:val="both"/>
        <w:rPr>
          <w:sz w:val="22"/>
          <w:szCs w:val="22"/>
        </w:rPr>
      </w:pPr>
      <w:r w:rsidRPr="009E544D">
        <w:rPr>
          <w:sz w:val="22"/>
          <w:szCs w:val="22"/>
        </w:rPr>
        <w:t xml:space="preserve">The general strategy for prevention and control of vector borne diseases under NVBDCP is described below: </w:t>
      </w:r>
    </w:p>
    <w:p w:rsidR="0082724A" w:rsidRPr="009E544D" w:rsidRDefault="0082724A" w:rsidP="0082724A">
      <w:pPr>
        <w:pStyle w:val="Default"/>
        <w:numPr>
          <w:ilvl w:val="0"/>
          <w:numId w:val="3"/>
        </w:numPr>
        <w:spacing w:after="164" w:line="276" w:lineRule="auto"/>
        <w:jc w:val="both"/>
        <w:rPr>
          <w:sz w:val="22"/>
          <w:szCs w:val="22"/>
        </w:rPr>
      </w:pPr>
      <w:r w:rsidRPr="009E544D">
        <w:rPr>
          <w:b/>
          <w:bCs/>
          <w:sz w:val="22"/>
          <w:szCs w:val="22"/>
        </w:rPr>
        <w:t xml:space="preserve">Integrated Vector Management </w:t>
      </w:r>
      <w:r w:rsidRPr="009E544D">
        <w:rPr>
          <w:sz w:val="22"/>
          <w:szCs w:val="22"/>
        </w:rPr>
        <w:t>including Indoor Residual Spraying (IRS) in selected high risk areas, Long Lasting Insecticidal Nets (LLINs), use of larvivorous fish, anti-larval measures in urban areas including bio-larvicides and minor environmental engineering including source reduction.</w:t>
      </w:r>
    </w:p>
    <w:p w:rsidR="0082724A" w:rsidRPr="009E544D" w:rsidRDefault="0082724A" w:rsidP="0082724A">
      <w:pPr>
        <w:pStyle w:val="Default"/>
        <w:numPr>
          <w:ilvl w:val="0"/>
          <w:numId w:val="3"/>
        </w:numPr>
        <w:spacing w:after="164" w:line="276" w:lineRule="auto"/>
        <w:jc w:val="both"/>
        <w:rPr>
          <w:sz w:val="22"/>
          <w:szCs w:val="22"/>
        </w:rPr>
      </w:pPr>
      <w:r w:rsidRPr="009E544D">
        <w:rPr>
          <w:b/>
          <w:bCs/>
          <w:sz w:val="22"/>
          <w:szCs w:val="22"/>
        </w:rPr>
        <w:t xml:space="preserve">Disease Management </w:t>
      </w:r>
      <w:r w:rsidRPr="009E544D">
        <w:rPr>
          <w:sz w:val="22"/>
          <w:szCs w:val="22"/>
        </w:rPr>
        <w:t xml:space="preserve">including early case detection with active, passive and sentinel surveillance and complete effective treatment, strengthening of referral services, epidemic preparedness and rapid response. </w:t>
      </w:r>
    </w:p>
    <w:p w:rsidR="0082724A" w:rsidRPr="009E544D" w:rsidRDefault="0082724A" w:rsidP="0082724A">
      <w:pPr>
        <w:pStyle w:val="Default"/>
        <w:numPr>
          <w:ilvl w:val="0"/>
          <w:numId w:val="3"/>
        </w:numPr>
        <w:spacing w:after="164" w:line="276" w:lineRule="auto"/>
        <w:jc w:val="both"/>
        <w:rPr>
          <w:sz w:val="22"/>
          <w:szCs w:val="22"/>
        </w:rPr>
      </w:pPr>
      <w:r w:rsidRPr="009E544D">
        <w:rPr>
          <w:b/>
          <w:bCs/>
          <w:sz w:val="22"/>
          <w:szCs w:val="22"/>
        </w:rPr>
        <w:t xml:space="preserve">Supportive Interventions </w:t>
      </w:r>
      <w:r w:rsidRPr="009E544D">
        <w:rPr>
          <w:sz w:val="22"/>
          <w:szCs w:val="22"/>
        </w:rPr>
        <w:t xml:space="preserve">including Behaviour Change Communication (BCC), Inter-sectoral Convergence, Human Resource Development through capacity building. </w:t>
      </w:r>
    </w:p>
    <w:p w:rsidR="0082724A" w:rsidRPr="009E544D" w:rsidRDefault="0082724A" w:rsidP="0082724A">
      <w:pPr>
        <w:pStyle w:val="Default"/>
        <w:numPr>
          <w:ilvl w:val="0"/>
          <w:numId w:val="3"/>
        </w:numPr>
        <w:spacing w:after="164" w:line="276" w:lineRule="auto"/>
        <w:jc w:val="both"/>
        <w:rPr>
          <w:sz w:val="22"/>
          <w:szCs w:val="22"/>
        </w:rPr>
      </w:pPr>
      <w:r w:rsidRPr="009E544D">
        <w:rPr>
          <w:b/>
          <w:bCs/>
          <w:sz w:val="22"/>
          <w:szCs w:val="22"/>
        </w:rPr>
        <w:t xml:space="preserve">Vaccination </w:t>
      </w:r>
      <w:r w:rsidRPr="009E544D">
        <w:rPr>
          <w:sz w:val="22"/>
          <w:szCs w:val="22"/>
        </w:rPr>
        <w:t xml:space="preserve">only against J.E. </w:t>
      </w:r>
    </w:p>
    <w:p w:rsidR="0082724A" w:rsidRPr="009E544D" w:rsidRDefault="0082724A" w:rsidP="0082724A">
      <w:pPr>
        <w:pStyle w:val="Default"/>
        <w:numPr>
          <w:ilvl w:val="0"/>
          <w:numId w:val="3"/>
        </w:numPr>
        <w:spacing w:after="164" w:line="276" w:lineRule="auto"/>
        <w:jc w:val="both"/>
        <w:rPr>
          <w:sz w:val="22"/>
          <w:szCs w:val="22"/>
        </w:rPr>
      </w:pPr>
      <w:r w:rsidRPr="009E544D">
        <w:rPr>
          <w:b/>
          <w:bCs/>
          <w:sz w:val="22"/>
          <w:szCs w:val="22"/>
        </w:rPr>
        <w:t xml:space="preserve">Annual Mass Drugs Administration </w:t>
      </w:r>
      <w:r w:rsidRPr="009E544D">
        <w:rPr>
          <w:sz w:val="22"/>
          <w:szCs w:val="22"/>
        </w:rPr>
        <w:t>(only against Lymphatic Filariasis).</w:t>
      </w:r>
    </w:p>
    <w:p w:rsidR="0082724A" w:rsidRPr="009E544D" w:rsidRDefault="0082724A" w:rsidP="0082724A">
      <w:pPr>
        <w:autoSpaceDE w:val="0"/>
        <w:autoSpaceDN w:val="0"/>
        <w:adjustRightInd w:val="0"/>
        <w:jc w:val="both"/>
        <w:rPr>
          <w:rFonts w:ascii="Times New Roman" w:hAnsi="Times New Roman" w:cs="Times New Roman"/>
        </w:rPr>
      </w:pPr>
      <w:r w:rsidRPr="009E544D">
        <w:rPr>
          <w:rFonts w:ascii="Times New Roman" w:hAnsi="Times New Roman" w:cs="Times New Roman"/>
        </w:rPr>
        <w:t>The effective malaria control relies principally on efficient interventions for prevention and case management. Vector control interventions reduce transmission and thus decrease the incidence of malaria. Long lasting insecticidal net (LLIN) is a key vector control intervention for protection of populations at risk of malaria. The LLINs provide protection with the net as well as the insecticide. The WHO endorses the approach of scaled up distribution of LLIN, at no cost to the end-users, and recommends that 100% coverage of the targeted population is achieved to exploit the community protective effect of LLINs.</w:t>
      </w:r>
    </w:p>
    <w:p w:rsidR="0082724A" w:rsidRPr="009E544D" w:rsidRDefault="0082724A" w:rsidP="0082724A">
      <w:pPr>
        <w:autoSpaceDE w:val="0"/>
        <w:autoSpaceDN w:val="0"/>
        <w:adjustRightInd w:val="0"/>
        <w:jc w:val="both"/>
        <w:rPr>
          <w:rFonts w:ascii="Times New Roman" w:hAnsi="Times New Roman" w:cs="Times New Roman"/>
          <w:b/>
          <w:bCs/>
        </w:rPr>
      </w:pPr>
      <w:r w:rsidRPr="009E544D">
        <w:rPr>
          <w:rFonts w:ascii="Times New Roman" w:hAnsi="Times New Roman" w:cs="Times New Roman"/>
          <w:b/>
          <w:bCs/>
        </w:rPr>
        <w:t>The North East Region</w:t>
      </w:r>
    </w:p>
    <w:p w:rsidR="0082724A" w:rsidRPr="009E544D" w:rsidRDefault="0082724A" w:rsidP="0082724A">
      <w:pPr>
        <w:autoSpaceDE w:val="0"/>
        <w:autoSpaceDN w:val="0"/>
        <w:adjustRightInd w:val="0"/>
        <w:jc w:val="both"/>
        <w:rPr>
          <w:rFonts w:ascii="Times New Roman" w:hAnsi="Times New Roman" w:cs="Times New Roman"/>
        </w:rPr>
      </w:pPr>
      <w:r w:rsidRPr="009E544D">
        <w:rPr>
          <w:rFonts w:ascii="Times New Roman" w:hAnsi="Times New Roman" w:cs="Times New Roman"/>
          <w:lang w:val="en-IN"/>
        </w:rPr>
        <w:t xml:space="preserve"> </w:t>
      </w:r>
      <w:r w:rsidR="00AD09CE" w:rsidRPr="009E544D">
        <w:rPr>
          <w:rFonts w:ascii="Times New Roman" w:hAnsi="Times New Roman" w:cs="Times New Roman"/>
          <w:lang w:val="en-IN"/>
        </w:rPr>
        <w:t xml:space="preserve">All </w:t>
      </w:r>
      <w:r w:rsidR="00AD09CE">
        <w:rPr>
          <w:rFonts w:ascii="Times New Roman" w:hAnsi="Times New Roman" w:cs="Times New Roman"/>
          <w:lang w:val="en-IN"/>
        </w:rPr>
        <w:t xml:space="preserve">North-eastern states </w:t>
      </w:r>
      <w:r w:rsidRPr="009E544D">
        <w:rPr>
          <w:rFonts w:ascii="Times New Roman" w:hAnsi="Times New Roman" w:cs="Times New Roman"/>
          <w:lang w:val="en-IN"/>
        </w:rPr>
        <w:t>except Sikkim</w:t>
      </w:r>
      <w:r w:rsidR="00AD09CE">
        <w:rPr>
          <w:rFonts w:ascii="Times New Roman" w:hAnsi="Times New Roman" w:cs="Times New Roman"/>
          <w:lang w:val="en-IN"/>
        </w:rPr>
        <w:t xml:space="preserve"> </w:t>
      </w:r>
      <w:r w:rsidR="00AD09CE" w:rsidRPr="009E544D">
        <w:rPr>
          <w:rFonts w:ascii="Times New Roman" w:hAnsi="Times New Roman" w:cs="Times New Roman"/>
          <w:lang w:val="en-IN"/>
        </w:rPr>
        <w:t>are malaria endemic</w:t>
      </w:r>
      <w:r w:rsidRPr="009E544D">
        <w:rPr>
          <w:rFonts w:ascii="Times New Roman" w:hAnsi="Times New Roman" w:cs="Times New Roman"/>
          <w:lang w:val="en-IN"/>
        </w:rPr>
        <w:t>. The forest cover varies from 40 per cent in plain valleys to nearly 80 per cent in hill States of Nagaland and Arunachal Pradesh. Assam is the major constituent State of the northeast with more than 70 per cent population (~32 million) contributing &gt;50 per cent malaria cases. Northeast India shares vast international border with China (South Tibet) in the north, Myanmar in the East, Bangladesh in the southwest and Bhutan to the northwest. The entire population is largely classified as tribal with at least 220 ethnic groups, rich in cultural heritage, fauna and flora and major river systems. The population density varies from 13 per sq. kilometer in Arunachal Pradesh to 340 per sq. kilometer in Assam living predominantly in the countryside (84%), and literacy rate is 68.5 per cent.</w:t>
      </w:r>
    </w:p>
    <w:p w:rsidR="0082724A" w:rsidRPr="009E544D" w:rsidRDefault="0082724A" w:rsidP="0082724A">
      <w:pPr>
        <w:pStyle w:val="Default"/>
        <w:spacing w:line="276" w:lineRule="auto"/>
        <w:jc w:val="both"/>
        <w:rPr>
          <w:b/>
          <w:sz w:val="22"/>
          <w:szCs w:val="22"/>
        </w:rPr>
      </w:pPr>
    </w:p>
    <w:p w:rsidR="0082724A" w:rsidRPr="009E544D" w:rsidRDefault="0082724A" w:rsidP="0082724A">
      <w:pPr>
        <w:pStyle w:val="Default"/>
        <w:spacing w:line="276" w:lineRule="auto"/>
        <w:jc w:val="both"/>
        <w:rPr>
          <w:b/>
          <w:sz w:val="22"/>
          <w:szCs w:val="22"/>
        </w:rPr>
      </w:pPr>
    </w:p>
    <w:p w:rsidR="0082724A" w:rsidRPr="009E544D" w:rsidRDefault="0082724A" w:rsidP="0082724A">
      <w:pPr>
        <w:pStyle w:val="Default"/>
        <w:spacing w:line="276" w:lineRule="auto"/>
        <w:jc w:val="both"/>
        <w:rPr>
          <w:b/>
          <w:sz w:val="22"/>
          <w:szCs w:val="22"/>
        </w:rPr>
      </w:pPr>
    </w:p>
    <w:p w:rsidR="0082724A" w:rsidRPr="009E544D" w:rsidRDefault="0082724A" w:rsidP="0082724A">
      <w:pPr>
        <w:pStyle w:val="Default"/>
        <w:spacing w:line="276" w:lineRule="auto"/>
        <w:jc w:val="both"/>
        <w:rPr>
          <w:b/>
          <w:sz w:val="22"/>
          <w:szCs w:val="22"/>
        </w:rPr>
      </w:pPr>
    </w:p>
    <w:p w:rsidR="0082724A" w:rsidRPr="009E544D" w:rsidRDefault="0082724A" w:rsidP="0082724A">
      <w:pPr>
        <w:pStyle w:val="Default"/>
        <w:spacing w:line="276" w:lineRule="auto"/>
        <w:jc w:val="both"/>
        <w:rPr>
          <w:b/>
          <w:sz w:val="22"/>
          <w:szCs w:val="22"/>
        </w:rPr>
      </w:pPr>
      <w:r w:rsidRPr="009E544D">
        <w:rPr>
          <w:b/>
          <w:sz w:val="22"/>
          <w:szCs w:val="22"/>
        </w:rPr>
        <w:lastRenderedPageBreak/>
        <w:t xml:space="preserve">LLINs </w:t>
      </w:r>
    </w:p>
    <w:p w:rsidR="00712E7F" w:rsidRPr="009E544D" w:rsidRDefault="00712E7F" w:rsidP="0082724A">
      <w:pPr>
        <w:pStyle w:val="Default"/>
        <w:spacing w:line="276" w:lineRule="auto"/>
        <w:jc w:val="both"/>
        <w:rPr>
          <w:b/>
          <w:sz w:val="22"/>
          <w:szCs w:val="22"/>
        </w:rPr>
      </w:pPr>
    </w:p>
    <w:p w:rsidR="0082724A" w:rsidRPr="009E544D" w:rsidRDefault="0082724A" w:rsidP="00712E7F">
      <w:pPr>
        <w:pStyle w:val="Default"/>
        <w:spacing w:after="164" w:line="276" w:lineRule="auto"/>
        <w:jc w:val="both"/>
        <w:rPr>
          <w:sz w:val="22"/>
          <w:szCs w:val="22"/>
        </w:rPr>
      </w:pPr>
      <w:r w:rsidRPr="009E544D">
        <w:rPr>
          <w:sz w:val="22"/>
          <w:szCs w:val="22"/>
        </w:rPr>
        <w:t>LLINs</w:t>
      </w:r>
      <w:r w:rsidRPr="009E544D">
        <w:rPr>
          <w:rStyle w:val="FootnoteReference"/>
          <w:sz w:val="22"/>
          <w:szCs w:val="22"/>
        </w:rPr>
        <w:footnoteReference w:id="1"/>
      </w:r>
      <w:r w:rsidRPr="009E544D">
        <w:rPr>
          <w:sz w:val="22"/>
          <w:szCs w:val="22"/>
        </w:rPr>
        <w:t xml:space="preserve"> have proven to be a cost-effective intervention against malaria, and are highly effective against vector mosquitoes which bite indoors at night. They provide not only a physical barrier against the mosquito bites but also kill the mosquitoes or shorten their life span so that they cannot transmit malaria infection. However, for best effectiveness in the community, coverage of population at risk with LLINs must be as close to 100% as possible with high utilization rate (&gt; 80%). </w:t>
      </w:r>
    </w:p>
    <w:p w:rsidR="0082724A" w:rsidRPr="009E544D" w:rsidRDefault="0082724A" w:rsidP="0082724A">
      <w:pPr>
        <w:pStyle w:val="Default"/>
        <w:spacing w:after="164" w:line="276" w:lineRule="auto"/>
        <w:jc w:val="both"/>
        <w:rPr>
          <w:sz w:val="22"/>
          <w:szCs w:val="22"/>
        </w:rPr>
      </w:pPr>
      <w:r w:rsidRPr="009E544D">
        <w:rPr>
          <w:sz w:val="22"/>
          <w:szCs w:val="22"/>
        </w:rPr>
        <w:t>LLINs are manufactured based on two technologies: incorporation of the synthetic pyrethroid insecticide into the net’s fibres or coating or impregnation of the insecticide on the fibre with a wash-resistant binder system. The LLIN is a factory pre-treated mosquito net which retains its insecticidal activity even after 20 washes. These are designed for field use for a minimum of 3 years but their effective life can vary depending on conditions of usage and maintenance. They are more sustainable and effective than conventional Insecticide Treated Nets (ITN) which requires repeated treatments</w:t>
      </w:r>
      <w:r w:rsidRPr="009E544D">
        <w:rPr>
          <w:rStyle w:val="FootnoteReference"/>
          <w:sz w:val="22"/>
          <w:szCs w:val="22"/>
        </w:rPr>
        <w:footnoteReference w:id="2"/>
      </w:r>
      <w:r w:rsidRPr="009E544D">
        <w:rPr>
          <w:sz w:val="22"/>
          <w:szCs w:val="22"/>
        </w:rPr>
        <w:t>.</w:t>
      </w:r>
    </w:p>
    <w:p w:rsidR="0082724A" w:rsidRPr="009E544D" w:rsidRDefault="0082724A" w:rsidP="0082724A">
      <w:pPr>
        <w:autoSpaceDE w:val="0"/>
        <w:autoSpaceDN w:val="0"/>
        <w:adjustRightInd w:val="0"/>
        <w:jc w:val="both"/>
        <w:rPr>
          <w:rFonts w:ascii="Times New Roman" w:hAnsi="Times New Roman" w:cs="Times New Roman"/>
        </w:rPr>
      </w:pPr>
      <w:r w:rsidRPr="009E544D">
        <w:rPr>
          <w:rFonts w:ascii="Times New Roman" w:hAnsi="Times New Roman" w:cs="Times New Roman"/>
        </w:rPr>
        <w:t xml:space="preserve">In India, insecticide-treated nets (ITNs) were first field evaluated against </w:t>
      </w:r>
      <w:r w:rsidRPr="009E544D">
        <w:rPr>
          <w:rFonts w:ascii="Times New Roman" w:hAnsi="Times New Roman" w:cs="Times New Roman"/>
          <w:i/>
          <w:iCs/>
        </w:rPr>
        <w:t xml:space="preserve">An. minimus </w:t>
      </w:r>
      <w:r w:rsidRPr="009E544D">
        <w:rPr>
          <w:rFonts w:ascii="Times New Roman" w:hAnsi="Times New Roman" w:cs="Times New Roman"/>
        </w:rPr>
        <w:t>transmitted malaria in endemic villages of Kamrup district (Dimoria block) in the Brahamaputra Valley of Assam for the northeast sector</w:t>
      </w:r>
      <w:r w:rsidRPr="009E544D">
        <w:rPr>
          <w:rStyle w:val="FootnoteReference"/>
          <w:rFonts w:ascii="Times New Roman" w:hAnsi="Times New Roman" w:cs="Times New Roman"/>
        </w:rPr>
        <w:footnoteReference w:id="3"/>
      </w:r>
      <w:r w:rsidRPr="009E544D">
        <w:rPr>
          <w:rFonts w:ascii="Times New Roman" w:hAnsi="Times New Roman" w:cs="Times New Roman"/>
        </w:rPr>
        <w:t xml:space="preserve">. There was &gt;70% decline in number of </w:t>
      </w:r>
      <w:r w:rsidRPr="009E544D">
        <w:rPr>
          <w:rFonts w:ascii="Times New Roman" w:hAnsi="Times New Roman" w:cs="Times New Roman"/>
          <w:i/>
          <w:iCs/>
        </w:rPr>
        <w:t xml:space="preserve">P. falciparum </w:t>
      </w:r>
      <w:r w:rsidRPr="009E544D">
        <w:rPr>
          <w:rFonts w:ascii="Times New Roman" w:hAnsi="Times New Roman" w:cs="Times New Roman"/>
        </w:rPr>
        <w:t>cases over 2 year study period with concomitant decline in host vector contact.  In 2010 LLINs were introduced in the North East Region as part of the Global Fund Malaria programme.</w:t>
      </w:r>
    </w:p>
    <w:p w:rsidR="0082724A" w:rsidRPr="009E544D" w:rsidRDefault="0082724A" w:rsidP="0082724A">
      <w:pPr>
        <w:autoSpaceDE w:val="0"/>
        <w:autoSpaceDN w:val="0"/>
        <w:adjustRightInd w:val="0"/>
        <w:jc w:val="both"/>
        <w:rPr>
          <w:rFonts w:ascii="Times New Roman" w:hAnsi="Times New Roman" w:cs="Times New Roman"/>
        </w:rPr>
      </w:pPr>
      <w:r w:rsidRPr="009E544D">
        <w:rPr>
          <w:rFonts w:ascii="Times New Roman" w:hAnsi="Times New Roman" w:cs="Times New Roman"/>
        </w:rPr>
        <w:t>A cross-sectional study was undertaken in three different malaria endemic blocks of Assam. The advent of long-lasting insecticidal nets (LLINs) has proven to be an evidenced-based intervention for disease vector control and the incorporation of program implementation planning by healthcare services</w:t>
      </w:r>
      <w:r w:rsidRPr="009E544D">
        <w:rPr>
          <w:rStyle w:val="FootnoteReference"/>
          <w:rFonts w:ascii="Times New Roman" w:hAnsi="Times New Roman" w:cs="Times New Roman"/>
        </w:rPr>
        <w:footnoteReference w:id="4"/>
      </w:r>
      <w:r w:rsidRPr="009E544D">
        <w:rPr>
          <w:rFonts w:ascii="Times New Roman" w:hAnsi="Times New Roman" w:cs="Times New Roman"/>
        </w:rPr>
        <w:t>. Due to the reductions in transmission that have been demonstrated in village-scale field-based studies, LLINs are now being promoted as the mainstay of vector control for prioritized high-risk population groups</w:t>
      </w:r>
      <w:r w:rsidRPr="009E544D">
        <w:rPr>
          <w:rStyle w:val="FootnoteReference"/>
          <w:rFonts w:ascii="Times New Roman" w:hAnsi="Times New Roman" w:cs="Times New Roman"/>
        </w:rPr>
        <w:footnoteReference w:id="5"/>
      </w:r>
      <w:r w:rsidRPr="009E544D">
        <w:rPr>
          <w:rFonts w:ascii="Times New Roman" w:hAnsi="Times New Roman" w:cs="Times New Roman"/>
        </w:rPr>
        <w:t xml:space="preserve">. </w:t>
      </w:r>
    </w:p>
    <w:p w:rsidR="0082724A" w:rsidRPr="009E544D" w:rsidRDefault="0082724A" w:rsidP="0082724A">
      <w:pPr>
        <w:pStyle w:val="Default"/>
        <w:spacing w:after="164" w:line="276" w:lineRule="auto"/>
        <w:jc w:val="both"/>
        <w:rPr>
          <w:sz w:val="22"/>
          <w:szCs w:val="22"/>
        </w:rPr>
      </w:pPr>
      <w:r w:rsidRPr="009E544D">
        <w:rPr>
          <w:sz w:val="22"/>
          <w:szCs w:val="22"/>
        </w:rPr>
        <w:t>A total of 72.48 lakhs LLINs have been distributed across the seven North Eastern States in 2016 by two PRs (Principal Recipients) PR-I i.e. NVBDCP and PR-II i.e. Caritas India.</w:t>
      </w:r>
    </w:p>
    <w:p w:rsidR="0082724A" w:rsidRPr="009E544D" w:rsidRDefault="0082724A" w:rsidP="0082724A">
      <w:pPr>
        <w:pStyle w:val="Default"/>
        <w:spacing w:after="164" w:line="276" w:lineRule="auto"/>
        <w:jc w:val="both"/>
        <w:rPr>
          <w:sz w:val="22"/>
          <w:szCs w:val="22"/>
        </w:rPr>
      </w:pPr>
      <w:r w:rsidRPr="009E544D">
        <w:rPr>
          <w:sz w:val="22"/>
          <w:szCs w:val="22"/>
        </w:rPr>
        <w:t>The breakup of LLIN distribution for the seven North East States as follows:</w:t>
      </w:r>
    </w:p>
    <w:tbl>
      <w:tblPr>
        <w:tblStyle w:val="TableGrid"/>
        <w:tblW w:w="10533" w:type="dxa"/>
        <w:tblInd w:w="-572" w:type="dxa"/>
        <w:tblLook w:val="04A0" w:firstRow="1" w:lastRow="0" w:firstColumn="1" w:lastColumn="0" w:noHBand="0" w:noVBand="1"/>
      </w:tblPr>
      <w:tblGrid>
        <w:gridCol w:w="1244"/>
        <w:gridCol w:w="1182"/>
        <w:gridCol w:w="1191"/>
        <w:gridCol w:w="1069"/>
        <w:gridCol w:w="1226"/>
        <w:gridCol w:w="1191"/>
        <w:gridCol w:w="1102"/>
        <w:gridCol w:w="1069"/>
        <w:gridCol w:w="1259"/>
      </w:tblGrid>
      <w:tr w:rsidR="0082724A" w:rsidRPr="009E544D" w:rsidTr="00712E7F">
        <w:tc>
          <w:tcPr>
            <w:tcW w:w="1244" w:type="dxa"/>
          </w:tcPr>
          <w:p w:rsidR="0082724A" w:rsidRPr="009E544D" w:rsidRDefault="0082724A" w:rsidP="0098101E">
            <w:pPr>
              <w:pStyle w:val="Default"/>
              <w:spacing w:after="164" w:line="276" w:lineRule="auto"/>
              <w:jc w:val="both"/>
            </w:pPr>
          </w:p>
        </w:tc>
        <w:tc>
          <w:tcPr>
            <w:tcW w:w="1182" w:type="dxa"/>
          </w:tcPr>
          <w:p w:rsidR="0082724A" w:rsidRPr="009E544D" w:rsidRDefault="0082724A" w:rsidP="0098101E">
            <w:pPr>
              <w:pStyle w:val="Default"/>
              <w:spacing w:line="276" w:lineRule="auto"/>
              <w:jc w:val="both"/>
            </w:pPr>
            <w:r w:rsidRPr="009E544D">
              <w:t>Arunachal Pradesh</w:t>
            </w:r>
          </w:p>
        </w:tc>
        <w:tc>
          <w:tcPr>
            <w:tcW w:w="1191" w:type="dxa"/>
          </w:tcPr>
          <w:p w:rsidR="0082724A" w:rsidRPr="009E544D" w:rsidRDefault="0082724A" w:rsidP="0098101E">
            <w:pPr>
              <w:pStyle w:val="Default"/>
              <w:spacing w:after="164" w:line="276" w:lineRule="auto"/>
              <w:jc w:val="both"/>
            </w:pPr>
            <w:r w:rsidRPr="009E544D">
              <w:t>Assam</w:t>
            </w:r>
          </w:p>
        </w:tc>
        <w:tc>
          <w:tcPr>
            <w:tcW w:w="1069" w:type="dxa"/>
          </w:tcPr>
          <w:p w:rsidR="0082724A" w:rsidRPr="009E544D" w:rsidRDefault="0082724A" w:rsidP="0098101E">
            <w:pPr>
              <w:pStyle w:val="Default"/>
              <w:spacing w:after="164" w:line="276" w:lineRule="auto"/>
              <w:jc w:val="both"/>
            </w:pPr>
            <w:r w:rsidRPr="009E544D">
              <w:t>Manipur</w:t>
            </w:r>
          </w:p>
        </w:tc>
        <w:tc>
          <w:tcPr>
            <w:tcW w:w="1226" w:type="dxa"/>
          </w:tcPr>
          <w:p w:rsidR="0082724A" w:rsidRPr="009E544D" w:rsidRDefault="0082724A" w:rsidP="0098101E">
            <w:pPr>
              <w:pStyle w:val="Default"/>
              <w:spacing w:after="164" w:line="276" w:lineRule="auto"/>
              <w:jc w:val="both"/>
            </w:pPr>
            <w:r w:rsidRPr="009E544D">
              <w:t>Meghalaya</w:t>
            </w:r>
          </w:p>
        </w:tc>
        <w:tc>
          <w:tcPr>
            <w:tcW w:w="1191" w:type="dxa"/>
          </w:tcPr>
          <w:p w:rsidR="0082724A" w:rsidRPr="009E544D" w:rsidRDefault="0082724A" w:rsidP="0098101E">
            <w:pPr>
              <w:pStyle w:val="Default"/>
              <w:spacing w:after="164" w:line="276" w:lineRule="auto"/>
              <w:jc w:val="both"/>
            </w:pPr>
            <w:r w:rsidRPr="009E544D">
              <w:t>Mizoram</w:t>
            </w:r>
          </w:p>
        </w:tc>
        <w:tc>
          <w:tcPr>
            <w:tcW w:w="1102" w:type="dxa"/>
          </w:tcPr>
          <w:p w:rsidR="0082724A" w:rsidRPr="009E544D" w:rsidRDefault="0082724A" w:rsidP="0098101E">
            <w:pPr>
              <w:pStyle w:val="Default"/>
              <w:spacing w:after="164" w:line="276" w:lineRule="auto"/>
              <w:jc w:val="both"/>
            </w:pPr>
            <w:r w:rsidRPr="009E544D">
              <w:t>Nagaland</w:t>
            </w:r>
          </w:p>
        </w:tc>
        <w:tc>
          <w:tcPr>
            <w:tcW w:w="1069" w:type="dxa"/>
          </w:tcPr>
          <w:p w:rsidR="0082724A" w:rsidRPr="009E544D" w:rsidRDefault="0082724A" w:rsidP="0098101E">
            <w:pPr>
              <w:pStyle w:val="Default"/>
              <w:spacing w:after="164" w:line="276" w:lineRule="auto"/>
              <w:jc w:val="both"/>
            </w:pPr>
            <w:r w:rsidRPr="009E544D">
              <w:t>Tripura</w:t>
            </w:r>
          </w:p>
        </w:tc>
        <w:tc>
          <w:tcPr>
            <w:tcW w:w="1259" w:type="dxa"/>
          </w:tcPr>
          <w:p w:rsidR="0082724A" w:rsidRPr="009E544D" w:rsidRDefault="0082724A" w:rsidP="0098101E">
            <w:pPr>
              <w:pStyle w:val="Default"/>
              <w:spacing w:after="164" w:line="276" w:lineRule="auto"/>
              <w:ind w:left="720" w:hanging="720"/>
              <w:jc w:val="both"/>
            </w:pPr>
            <w:r w:rsidRPr="009E544D">
              <w:t>Total</w:t>
            </w:r>
          </w:p>
        </w:tc>
      </w:tr>
      <w:tr w:rsidR="0082724A" w:rsidRPr="009E544D" w:rsidTr="00712E7F">
        <w:tc>
          <w:tcPr>
            <w:tcW w:w="1244" w:type="dxa"/>
          </w:tcPr>
          <w:p w:rsidR="0082724A" w:rsidRPr="009E544D" w:rsidRDefault="0082724A" w:rsidP="0098101E">
            <w:pPr>
              <w:pStyle w:val="Default"/>
              <w:spacing w:after="164" w:line="276" w:lineRule="auto"/>
              <w:jc w:val="both"/>
            </w:pPr>
            <w:r w:rsidRPr="009E544D">
              <w:t>Population</w:t>
            </w:r>
          </w:p>
        </w:tc>
        <w:tc>
          <w:tcPr>
            <w:tcW w:w="1182" w:type="dxa"/>
          </w:tcPr>
          <w:p w:rsidR="0082724A" w:rsidRPr="009E544D" w:rsidRDefault="0082724A" w:rsidP="0098101E">
            <w:pPr>
              <w:pStyle w:val="Default"/>
              <w:spacing w:after="164" w:line="276" w:lineRule="auto"/>
              <w:jc w:val="both"/>
            </w:pPr>
            <w:r w:rsidRPr="009E544D">
              <w:t>1443697</w:t>
            </w:r>
          </w:p>
        </w:tc>
        <w:tc>
          <w:tcPr>
            <w:tcW w:w="1191" w:type="dxa"/>
          </w:tcPr>
          <w:p w:rsidR="0082724A" w:rsidRPr="009E544D" w:rsidRDefault="0082724A" w:rsidP="0098101E">
            <w:pPr>
              <w:pStyle w:val="Default"/>
              <w:spacing w:after="164" w:line="276" w:lineRule="auto"/>
              <w:jc w:val="both"/>
            </w:pPr>
            <w:r w:rsidRPr="009E544D">
              <w:t>33146748</w:t>
            </w:r>
          </w:p>
        </w:tc>
        <w:tc>
          <w:tcPr>
            <w:tcW w:w="1069" w:type="dxa"/>
          </w:tcPr>
          <w:p w:rsidR="0082724A" w:rsidRPr="009E544D" w:rsidRDefault="0082724A" w:rsidP="0098101E">
            <w:pPr>
              <w:pStyle w:val="Default"/>
              <w:spacing w:after="164" w:line="276" w:lineRule="auto"/>
              <w:jc w:val="both"/>
            </w:pPr>
            <w:r w:rsidRPr="009E544D">
              <w:t>2930000</w:t>
            </w:r>
          </w:p>
        </w:tc>
        <w:tc>
          <w:tcPr>
            <w:tcW w:w="1226" w:type="dxa"/>
          </w:tcPr>
          <w:p w:rsidR="0082724A" w:rsidRPr="009E544D" w:rsidRDefault="0082724A" w:rsidP="0098101E">
            <w:pPr>
              <w:pStyle w:val="Default"/>
              <w:spacing w:after="164" w:line="276" w:lineRule="auto"/>
              <w:jc w:val="both"/>
            </w:pPr>
            <w:r w:rsidRPr="009E544D">
              <w:t>3285439</w:t>
            </w:r>
          </w:p>
        </w:tc>
        <w:tc>
          <w:tcPr>
            <w:tcW w:w="1191" w:type="dxa"/>
          </w:tcPr>
          <w:p w:rsidR="0082724A" w:rsidRPr="009E544D" w:rsidRDefault="0082724A" w:rsidP="0098101E">
            <w:pPr>
              <w:pStyle w:val="Default"/>
              <w:spacing w:after="164" w:line="276" w:lineRule="auto"/>
              <w:jc w:val="both"/>
            </w:pPr>
            <w:r w:rsidRPr="009E544D">
              <w:t>11711491</w:t>
            </w:r>
          </w:p>
        </w:tc>
        <w:tc>
          <w:tcPr>
            <w:tcW w:w="1102" w:type="dxa"/>
          </w:tcPr>
          <w:p w:rsidR="0082724A" w:rsidRPr="009E544D" w:rsidRDefault="0082724A" w:rsidP="0098101E">
            <w:pPr>
              <w:pStyle w:val="Default"/>
              <w:spacing w:after="164" w:line="276" w:lineRule="auto"/>
              <w:jc w:val="both"/>
            </w:pPr>
            <w:r w:rsidRPr="009E544D">
              <w:t>2028463</w:t>
            </w:r>
          </w:p>
        </w:tc>
        <w:tc>
          <w:tcPr>
            <w:tcW w:w="1069" w:type="dxa"/>
          </w:tcPr>
          <w:p w:rsidR="0082724A" w:rsidRPr="009E544D" w:rsidRDefault="0082724A" w:rsidP="0098101E">
            <w:pPr>
              <w:pStyle w:val="Default"/>
              <w:spacing w:after="164" w:line="276" w:lineRule="auto"/>
              <w:jc w:val="both"/>
            </w:pPr>
            <w:r w:rsidRPr="009E544D">
              <w:t>3920268</w:t>
            </w:r>
          </w:p>
        </w:tc>
        <w:tc>
          <w:tcPr>
            <w:tcW w:w="1259" w:type="dxa"/>
          </w:tcPr>
          <w:p w:rsidR="0082724A" w:rsidRPr="009E544D" w:rsidRDefault="0082724A" w:rsidP="0098101E">
            <w:pPr>
              <w:pStyle w:val="Default"/>
              <w:spacing w:after="164" w:line="276" w:lineRule="auto"/>
              <w:jc w:val="both"/>
              <w:rPr>
                <w:b/>
              </w:rPr>
            </w:pPr>
            <w:r w:rsidRPr="009E544D">
              <w:rPr>
                <w:b/>
              </w:rPr>
              <w:t>47926106</w:t>
            </w:r>
          </w:p>
        </w:tc>
      </w:tr>
      <w:tr w:rsidR="0082724A" w:rsidRPr="009E544D" w:rsidTr="00712E7F">
        <w:trPr>
          <w:trHeight w:val="665"/>
        </w:trPr>
        <w:tc>
          <w:tcPr>
            <w:tcW w:w="1244" w:type="dxa"/>
          </w:tcPr>
          <w:p w:rsidR="0082724A" w:rsidRPr="009E544D" w:rsidRDefault="0082724A" w:rsidP="0098101E">
            <w:pPr>
              <w:pStyle w:val="Default"/>
              <w:spacing w:line="276" w:lineRule="auto"/>
              <w:jc w:val="both"/>
            </w:pPr>
            <w:r w:rsidRPr="009E544D">
              <w:t>LLIN allocated (in Lakhs)</w:t>
            </w:r>
          </w:p>
        </w:tc>
        <w:tc>
          <w:tcPr>
            <w:tcW w:w="1182" w:type="dxa"/>
          </w:tcPr>
          <w:p w:rsidR="0082724A" w:rsidRPr="009E544D" w:rsidRDefault="0082724A" w:rsidP="0098101E">
            <w:pPr>
              <w:pStyle w:val="Default"/>
              <w:spacing w:after="164" w:line="276" w:lineRule="auto"/>
              <w:jc w:val="both"/>
            </w:pPr>
            <w:r w:rsidRPr="009E544D">
              <w:t>5.78</w:t>
            </w:r>
          </w:p>
        </w:tc>
        <w:tc>
          <w:tcPr>
            <w:tcW w:w="1191" w:type="dxa"/>
          </w:tcPr>
          <w:p w:rsidR="0082724A" w:rsidRPr="009E544D" w:rsidRDefault="0082724A" w:rsidP="0098101E">
            <w:pPr>
              <w:pStyle w:val="Default"/>
              <w:spacing w:after="164" w:line="276" w:lineRule="auto"/>
              <w:jc w:val="both"/>
            </w:pPr>
            <w:r w:rsidRPr="009E544D">
              <w:t>28.58</w:t>
            </w:r>
          </w:p>
        </w:tc>
        <w:tc>
          <w:tcPr>
            <w:tcW w:w="1069" w:type="dxa"/>
          </w:tcPr>
          <w:p w:rsidR="0082724A" w:rsidRPr="009E544D" w:rsidRDefault="0082724A" w:rsidP="0098101E">
            <w:pPr>
              <w:pStyle w:val="Default"/>
              <w:spacing w:after="164" w:line="276" w:lineRule="auto"/>
              <w:jc w:val="both"/>
            </w:pPr>
            <w:r w:rsidRPr="009E544D">
              <w:t>3.96</w:t>
            </w:r>
          </w:p>
        </w:tc>
        <w:tc>
          <w:tcPr>
            <w:tcW w:w="1226" w:type="dxa"/>
          </w:tcPr>
          <w:p w:rsidR="0082724A" w:rsidRPr="009E544D" w:rsidRDefault="0082724A" w:rsidP="0098101E">
            <w:pPr>
              <w:pStyle w:val="Default"/>
              <w:spacing w:after="164" w:line="276" w:lineRule="auto"/>
              <w:jc w:val="both"/>
            </w:pPr>
            <w:r w:rsidRPr="009E544D">
              <w:t>9.41</w:t>
            </w:r>
          </w:p>
        </w:tc>
        <w:tc>
          <w:tcPr>
            <w:tcW w:w="1191" w:type="dxa"/>
          </w:tcPr>
          <w:p w:rsidR="0082724A" w:rsidRPr="009E544D" w:rsidRDefault="0082724A" w:rsidP="0098101E">
            <w:pPr>
              <w:pStyle w:val="Default"/>
              <w:spacing w:after="164" w:line="276" w:lineRule="auto"/>
              <w:jc w:val="both"/>
            </w:pPr>
            <w:r w:rsidRPr="009E544D">
              <w:t>5.28</w:t>
            </w:r>
          </w:p>
        </w:tc>
        <w:tc>
          <w:tcPr>
            <w:tcW w:w="1102" w:type="dxa"/>
          </w:tcPr>
          <w:p w:rsidR="0082724A" w:rsidRPr="009E544D" w:rsidRDefault="0082724A" w:rsidP="0098101E">
            <w:pPr>
              <w:pStyle w:val="Default"/>
              <w:spacing w:after="164" w:line="276" w:lineRule="auto"/>
              <w:jc w:val="both"/>
            </w:pPr>
            <w:r w:rsidRPr="009E544D">
              <w:t>9.41</w:t>
            </w:r>
          </w:p>
        </w:tc>
        <w:tc>
          <w:tcPr>
            <w:tcW w:w="1069" w:type="dxa"/>
          </w:tcPr>
          <w:p w:rsidR="0082724A" w:rsidRPr="009E544D" w:rsidRDefault="0082724A" w:rsidP="0098101E">
            <w:pPr>
              <w:pStyle w:val="Default"/>
              <w:spacing w:after="164" w:line="276" w:lineRule="auto"/>
              <w:jc w:val="both"/>
            </w:pPr>
            <w:r w:rsidRPr="009E544D">
              <w:t>10.06</w:t>
            </w:r>
          </w:p>
        </w:tc>
        <w:tc>
          <w:tcPr>
            <w:tcW w:w="1259" w:type="dxa"/>
          </w:tcPr>
          <w:p w:rsidR="0082724A" w:rsidRPr="009E544D" w:rsidRDefault="0082724A" w:rsidP="0098101E">
            <w:pPr>
              <w:pStyle w:val="Default"/>
              <w:spacing w:after="164" w:line="276" w:lineRule="auto"/>
              <w:jc w:val="both"/>
              <w:rPr>
                <w:b/>
              </w:rPr>
            </w:pPr>
            <w:r w:rsidRPr="009E544D">
              <w:rPr>
                <w:b/>
              </w:rPr>
              <w:t>72.48</w:t>
            </w:r>
          </w:p>
        </w:tc>
      </w:tr>
    </w:tbl>
    <w:p w:rsidR="0082724A" w:rsidRPr="009E544D" w:rsidRDefault="0082724A" w:rsidP="0082724A">
      <w:pPr>
        <w:autoSpaceDE w:val="0"/>
        <w:autoSpaceDN w:val="0"/>
        <w:adjustRightInd w:val="0"/>
        <w:spacing w:after="0"/>
        <w:jc w:val="both"/>
        <w:rPr>
          <w:rFonts w:ascii="Times New Roman" w:hAnsi="Times New Roman" w:cs="Times New Roman"/>
        </w:rPr>
      </w:pPr>
    </w:p>
    <w:p w:rsidR="0082724A" w:rsidRPr="009E544D" w:rsidRDefault="0082724A" w:rsidP="0082724A">
      <w:pPr>
        <w:autoSpaceDE w:val="0"/>
        <w:autoSpaceDN w:val="0"/>
        <w:adjustRightInd w:val="0"/>
        <w:spacing w:after="0"/>
        <w:jc w:val="both"/>
        <w:rPr>
          <w:rFonts w:ascii="Times New Roman" w:hAnsi="Times New Roman" w:cs="Times New Roman"/>
        </w:rPr>
      </w:pPr>
    </w:p>
    <w:p w:rsidR="0082724A" w:rsidRPr="009E544D" w:rsidRDefault="0082724A" w:rsidP="0082724A">
      <w:pPr>
        <w:autoSpaceDE w:val="0"/>
        <w:autoSpaceDN w:val="0"/>
        <w:adjustRightInd w:val="0"/>
        <w:spacing w:after="0"/>
        <w:jc w:val="both"/>
        <w:rPr>
          <w:rFonts w:ascii="Times New Roman" w:hAnsi="Times New Roman" w:cs="Times New Roman"/>
        </w:rPr>
      </w:pPr>
    </w:p>
    <w:p w:rsidR="0082724A" w:rsidRPr="009E544D" w:rsidRDefault="0082724A" w:rsidP="0082724A">
      <w:pPr>
        <w:autoSpaceDE w:val="0"/>
        <w:autoSpaceDN w:val="0"/>
        <w:adjustRightInd w:val="0"/>
        <w:spacing w:after="0"/>
        <w:jc w:val="both"/>
        <w:rPr>
          <w:rFonts w:ascii="Times New Roman" w:hAnsi="Times New Roman" w:cs="Times New Roman"/>
        </w:rPr>
      </w:pPr>
    </w:p>
    <w:p w:rsidR="0082724A" w:rsidRPr="009E544D" w:rsidRDefault="0082724A" w:rsidP="0082724A">
      <w:pPr>
        <w:autoSpaceDE w:val="0"/>
        <w:autoSpaceDN w:val="0"/>
        <w:adjustRightInd w:val="0"/>
        <w:spacing w:after="0"/>
        <w:jc w:val="both"/>
        <w:rPr>
          <w:rFonts w:ascii="Times New Roman" w:hAnsi="Times New Roman" w:cs="Times New Roman"/>
        </w:rPr>
      </w:pPr>
      <w:r w:rsidRPr="009E544D">
        <w:rPr>
          <w:rFonts w:ascii="Times New Roman" w:hAnsi="Times New Roman" w:cs="Times New Roman"/>
        </w:rPr>
        <w:t>The key objective of the study are as follows</w:t>
      </w:r>
    </w:p>
    <w:p w:rsidR="00D42F07" w:rsidRPr="009E544D" w:rsidRDefault="00D42F07" w:rsidP="00D42F07">
      <w:pPr>
        <w:numPr>
          <w:ilvl w:val="0"/>
          <w:numId w:val="4"/>
        </w:numPr>
        <w:autoSpaceDE w:val="0"/>
        <w:autoSpaceDN w:val="0"/>
        <w:adjustRightInd w:val="0"/>
        <w:spacing w:after="0"/>
        <w:jc w:val="both"/>
        <w:rPr>
          <w:rFonts w:ascii="Times New Roman" w:hAnsi="Times New Roman" w:cs="Times New Roman"/>
        </w:rPr>
      </w:pPr>
      <w:r w:rsidRPr="009E544D">
        <w:rPr>
          <w:rFonts w:ascii="Times New Roman" w:hAnsi="Times New Roman" w:cs="Times New Roman"/>
        </w:rPr>
        <w:t xml:space="preserve">To assess the distribution, storage, usage and maintenance and retention of LLINs at the household level in NE states. </w:t>
      </w:r>
    </w:p>
    <w:p w:rsidR="00D42F07" w:rsidRPr="009E544D" w:rsidRDefault="00D42F07" w:rsidP="00D42F07">
      <w:pPr>
        <w:numPr>
          <w:ilvl w:val="0"/>
          <w:numId w:val="4"/>
        </w:numPr>
        <w:autoSpaceDE w:val="0"/>
        <w:autoSpaceDN w:val="0"/>
        <w:adjustRightInd w:val="0"/>
        <w:spacing w:after="0"/>
        <w:jc w:val="both"/>
        <w:rPr>
          <w:rFonts w:ascii="Times New Roman" w:hAnsi="Times New Roman" w:cs="Times New Roman"/>
        </w:rPr>
      </w:pPr>
      <w:r w:rsidRPr="009E544D">
        <w:rPr>
          <w:rFonts w:ascii="Times New Roman" w:hAnsi="Times New Roman" w:cs="Times New Roman"/>
        </w:rPr>
        <w:t>To assess behaviour change communication approaches undertaken by the health department before, during and after distribution of LLIN.</w:t>
      </w:r>
    </w:p>
    <w:p w:rsidR="00D42F07" w:rsidRPr="009E544D" w:rsidRDefault="00D42F07" w:rsidP="00D42F07">
      <w:pPr>
        <w:numPr>
          <w:ilvl w:val="0"/>
          <w:numId w:val="4"/>
        </w:numPr>
        <w:autoSpaceDE w:val="0"/>
        <w:autoSpaceDN w:val="0"/>
        <w:adjustRightInd w:val="0"/>
        <w:spacing w:after="0"/>
        <w:jc w:val="both"/>
        <w:rPr>
          <w:rFonts w:ascii="Times New Roman" w:hAnsi="Times New Roman" w:cs="Times New Roman"/>
        </w:rPr>
      </w:pPr>
      <w:r w:rsidRPr="009E544D">
        <w:rPr>
          <w:rFonts w:ascii="Times New Roman" w:hAnsi="Times New Roman" w:cs="Times New Roman"/>
        </w:rPr>
        <w:t>To assess the knowledge, attitude and behavioral practices related to LLINs usage in the community (including among pregnant mothers).</w:t>
      </w:r>
    </w:p>
    <w:p w:rsidR="00D42F07" w:rsidRPr="009E544D" w:rsidRDefault="00D42F07" w:rsidP="00D42F07">
      <w:pPr>
        <w:numPr>
          <w:ilvl w:val="0"/>
          <w:numId w:val="4"/>
        </w:numPr>
        <w:autoSpaceDE w:val="0"/>
        <w:autoSpaceDN w:val="0"/>
        <w:adjustRightInd w:val="0"/>
        <w:spacing w:after="0"/>
        <w:jc w:val="both"/>
        <w:rPr>
          <w:rFonts w:ascii="Times New Roman" w:hAnsi="Times New Roman" w:cs="Times New Roman"/>
        </w:rPr>
      </w:pPr>
      <w:r w:rsidRPr="009E544D">
        <w:rPr>
          <w:rFonts w:ascii="Times New Roman" w:hAnsi="Times New Roman" w:cs="Times New Roman"/>
        </w:rPr>
        <w:t>To assess the effectiveness of monitoring, reporting and analysis of data related to the utilization of LLINs at community level.</w:t>
      </w:r>
    </w:p>
    <w:p w:rsidR="00D42F07" w:rsidRPr="009E544D" w:rsidRDefault="00D42F07" w:rsidP="00D42F07">
      <w:pPr>
        <w:numPr>
          <w:ilvl w:val="0"/>
          <w:numId w:val="4"/>
        </w:numPr>
        <w:autoSpaceDE w:val="0"/>
        <w:autoSpaceDN w:val="0"/>
        <w:adjustRightInd w:val="0"/>
        <w:spacing w:after="0"/>
        <w:jc w:val="both"/>
        <w:rPr>
          <w:rFonts w:ascii="Times New Roman" w:hAnsi="Times New Roman" w:cs="Times New Roman"/>
        </w:rPr>
      </w:pPr>
      <w:r w:rsidRPr="009E544D">
        <w:rPr>
          <w:rFonts w:ascii="Times New Roman" w:hAnsi="Times New Roman" w:cs="Times New Roman"/>
        </w:rPr>
        <w:t>To assess the impact of LLIN intervention on reduction of malaria incidence</w:t>
      </w:r>
    </w:p>
    <w:p w:rsidR="0082724A" w:rsidRPr="009E544D" w:rsidRDefault="0082724A" w:rsidP="0082724A">
      <w:pPr>
        <w:autoSpaceDE w:val="0"/>
        <w:autoSpaceDN w:val="0"/>
        <w:adjustRightInd w:val="0"/>
        <w:spacing w:after="0"/>
        <w:ind w:left="720"/>
        <w:jc w:val="both"/>
        <w:rPr>
          <w:rFonts w:ascii="Times New Roman" w:hAnsi="Times New Roman" w:cs="Times New Roman"/>
        </w:rPr>
      </w:pPr>
    </w:p>
    <w:p w:rsidR="0082724A" w:rsidRPr="009E544D" w:rsidRDefault="0082724A" w:rsidP="0082724A">
      <w:pPr>
        <w:autoSpaceDE w:val="0"/>
        <w:autoSpaceDN w:val="0"/>
        <w:adjustRightInd w:val="0"/>
        <w:spacing w:after="0"/>
        <w:jc w:val="both"/>
        <w:rPr>
          <w:rFonts w:ascii="Times New Roman" w:hAnsi="Times New Roman" w:cs="Times New Roman"/>
          <w:b/>
          <w:bCs/>
        </w:rPr>
      </w:pPr>
      <w:r w:rsidRPr="009E544D">
        <w:rPr>
          <w:rFonts w:ascii="Times New Roman" w:hAnsi="Times New Roman" w:cs="Times New Roman"/>
          <w:b/>
          <w:bCs/>
        </w:rPr>
        <w:t>Methodology</w:t>
      </w:r>
    </w:p>
    <w:p w:rsidR="0082724A" w:rsidRPr="009E544D" w:rsidRDefault="0082724A" w:rsidP="0082724A">
      <w:pPr>
        <w:autoSpaceDE w:val="0"/>
        <w:autoSpaceDN w:val="0"/>
        <w:adjustRightInd w:val="0"/>
        <w:spacing w:after="0"/>
        <w:jc w:val="both"/>
        <w:rPr>
          <w:rFonts w:ascii="Times New Roman" w:hAnsi="Times New Roman" w:cs="Times New Roman"/>
          <w:lang w:val="en-IN"/>
        </w:rPr>
      </w:pPr>
      <w:r w:rsidRPr="009E544D">
        <w:rPr>
          <w:rFonts w:ascii="Times New Roman" w:hAnsi="Times New Roman" w:cs="Times New Roman"/>
          <w:lang w:val="en-IN"/>
        </w:rPr>
        <w:t xml:space="preserve">The </w:t>
      </w:r>
      <w:r w:rsidR="0003351C" w:rsidRPr="009E544D">
        <w:rPr>
          <w:rFonts w:ascii="Times New Roman" w:hAnsi="Times New Roman" w:cs="Times New Roman"/>
          <w:lang w:val="en-IN"/>
        </w:rPr>
        <w:t>study would adopt a mixed method approach and use p</w:t>
      </w:r>
      <w:r w:rsidRPr="009E544D">
        <w:rPr>
          <w:rFonts w:ascii="Times New Roman" w:hAnsi="Times New Roman" w:cs="Times New Roman"/>
          <w:lang w:val="en-IN"/>
        </w:rPr>
        <w:t>rimary and secondary data analysis. Primary data would include both qualitative and quantitative components. Secondary data analysi</w:t>
      </w:r>
      <w:r w:rsidR="009E544D">
        <w:rPr>
          <w:rFonts w:ascii="Times New Roman" w:hAnsi="Times New Roman" w:cs="Times New Roman"/>
          <w:lang w:val="en-IN"/>
        </w:rPr>
        <w:t xml:space="preserve">s would involve desk review of </w:t>
      </w:r>
      <w:r w:rsidRPr="009E544D">
        <w:rPr>
          <w:rFonts w:ascii="Times New Roman" w:hAnsi="Times New Roman" w:cs="Times New Roman"/>
          <w:lang w:val="en-IN"/>
        </w:rPr>
        <w:t>data from NVBDCP program to identify the performance levels of various districts in terms of program implementation and outcomes.</w:t>
      </w:r>
    </w:p>
    <w:p w:rsidR="0082724A" w:rsidRPr="009E544D" w:rsidRDefault="0082724A" w:rsidP="0082724A">
      <w:pPr>
        <w:autoSpaceDE w:val="0"/>
        <w:autoSpaceDN w:val="0"/>
        <w:adjustRightInd w:val="0"/>
        <w:spacing w:after="0"/>
        <w:ind w:left="720"/>
        <w:jc w:val="both"/>
        <w:rPr>
          <w:rFonts w:ascii="Times New Roman" w:hAnsi="Times New Roman" w:cs="Times New Roman"/>
          <w:lang w:val="en-IN"/>
        </w:rPr>
      </w:pPr>
    </w:p>
    <w:p w:rsidR="0082724A" w:rsidRPr="009E544D" w:rsidRDefault="0082724A" w:rsidP="0082724A">
      <w:pPr>
        <w:autoSpaceDE w:val="0"/>
        <w:autoSpaceDN w:val="0"/>
        <w:adjustRightInd w:val="0"/>
        <w:spacing w:after="0"/>
        <w:jc w:val="both"/>
        <w:rPr>
          <w:rFonts w:ascii="Times New Roman" w:hAnsi="Times New Roman" w:cs="Times New Roman"/>
          <w:b/>
          <w:bCs/>
          <w:lang w:val="en-IN"/>
        </w:rPr>
      </w:pPr>
      <w:r w:rsidRPr="009E544D">
        <w:rPr>
          <w:rFonts w:ascii="Times New Roman" w:hAnsi="Times New Roman" w:cs="Times New Roman"/>
          <w:b/>
          <w:bCs/>
          <w:lang w:val="en-IN"/>
        </w:rPr>
        <w:t>Data Collection Tools</w:t>
      </w:r>
    </w:p>
    <w:p w:rsidR="0082724A" w:rsidRPr="009E544D" w:rsidRDefault="0082724A" w:rsidP="0082724A">
      <w:pPr>
        <w:autoSpaceDE w:val="0"/>
        <w:autoSpaceDN w:val="0"/>
        <w:adjustRightInd w:val="0"/>
        <w:spacing w:after="0"/>
        <w:jc w:val="both"/>
        <w:rPr>
          <w:rFonts w:ascii="Times New Roman" w:hAnsi="Times New Roman" w:cs="Times New Roman"/>
          <w:lang w:val="en-IN"/>
        </w:rPr>
      </w:pPr>
      <w:r w:rsidRPr="009E544D">
        <w:rPr>
          <w:rFonts w:ascii="Times New Roman" w:hAnsi="Times New Roman" w:cs="Times New Roman"/>
          <w:lang w:val="en-IN"/>
        </w:rPr>
        <w:t xml:space="preserve">The data collection will include in depth interviews with programme managers at the State, district and facility </w:t>
      </w:r>
      <w:r w:rsidR="000A342E" w:rsidRPr="009E544D">
        <w:rPr>
          <w:rFonts w:ascii="Times New Roman" w:hAnsi="Times New Roman" w:cs="Times New Roman"/>
          <w:lang w:val="en-IN"/>
        </w:rPr>
        <w:t xml:space="preserve">(sub-centre) level. </w:t>
      </w:r>
      <w:r w:rsidRPr="009E544D">
        <w:rPr>
          <w:rFonts w:ascii="Times New Roman" w:hAnsi="Times New Roman" w:cs="Times New Roman"/>
          <w:lang w:val="en-IN"/>
        </w:rPr>
        <w:t>F</w:t>
      </w:r>
      <w:r w:rsidR="000A342E" w:rsidRPr="009E544D">
        <w:rPr>
          <w:rFonts w:ascii="Times New Roman" w:hAnsi="Times New Roman" w:cs="Times New Roman"/>
          <w:lang w:val="en-IN"/>
        </w:rPr>
        <w:t xml:space="preserve">ocus </w:t>
      </w:r>
      <w:r w:rsidRPr="009E544D">
        <w:rPr>
          <w:rFonts w:ascii="Times New Roman" w:hAnsi="Times New Roman" w:cs="Times New Roman"/>
          <w:lang w:val="en-IN"/>
        </w:rPr>
        <w:t>G</w:t>
      </w:r>
      <w:r w:rsidR="000A342E" w:rsidRPr="009E544D">
        <w:rPr>
          <w:rFonts w:ascii="Times New Roman" w:hAnsi="Times New Roman" w:cs="Times New Roman"/>
          <w:lang w:val="en-IN"/>
        </w:rPr>
        <w:t xml:space="preserve">roup </w:t>
      </w:r>
      <w:r w:rsidRPr="009E544D">
        <w:rPr>
          <w:rFonts w:ascii="Times New Roman" w:hAnsi="Times New Roman" w:cs="Times New Roman"/>
          <w:lang w:val="en-IN"/>
        </w:rPr>
        <w:t>D</w:t>
      </w:r>
      <w:r w:rsidR="000A342E" w:rsidRPr="009E544D">
        <w:rPr>
          <w:rFonts w:ascii="Times New Roman" w:hAnsi="Times New Roman" w:cs="Times New Roman"/>
          <w:lang w:val="en-IN"/>
        </w:rPr>
        <w:t>iscussions will be conducted</w:t>
      </w:r>
      <w:r w:rsidRPr="009E544D">
        <w:rPr>
          <w:rFonts w:ascii="Times New Roman" w:hAnsi="Times New Roman" w:cs="Times New Roman"/>
          <w:lang w:val="en-IN"/>
        </w:rPr>
        <w:t xml:space="preserve"> with MPWs/other community level workers involved in distribution and raising awareness about LLINs to understand their perspectives regarding the distribution, storage and maintenance of LLINs. In-depth interviews  with Key Informants and FGDs with beneficiaries will be conducted at the community level (including pregnant women) to understand their knowledge, attitudes and practices in relation to LLINs and extent of interaction with the health systems related to monitoring mechanisms.</w:t>
      </w:r>
    </w:p>
    <w:p w:rsidR="0082724A" w:rsidRPr="009E544D" w:rsidRDefault="0082724A" w:rsidP="0082724A">
      <w:pPr>
        <w:autoSpaceDE w:val="0"/>
        <w:autoSpaceDN w:val="0"/>
        <w:adjustRightInd w:val="0"/>
        <w:spacing w:after="0"/>
        <w:jc w:val="both"/>
        <w:rPr>
          <w:rFonts w:ascii="Times New Roman" w:hAnsi="Times New Roman" w:cs="Times New Roman"/>
          <w:b/>
          <w:bCs/>
          <w:lang w:val="en-IN"/>
        </w:rPr>
      </w:pPr>
    </w:p>
    <w:p w:rsidR="0082724A" w:rsidRDefault="000906CC" w:rsidP="0082724A">
      <w:pPr>
        <w:autoSpaceDE w:val="0"/>
        <w:autoSpaceDN w:val="0"/>
        <w:adjustRightInd w:val="0"/>
        <w:spacing w:after="0"/>
        <w:jc w:val="both"/>
        <w:rPr>
          <w:rFonts w:ascii="Times New Roman" w:hAnsi="Times New Roman" w:cs="Times New Roman"/>
          <w:b/>
          <w:bCs/>
          <w:lang w:val="en-IN"/>
        </w:rPr>
      </w:pPr>
      <w:r>
        <w:rPr>
          <w:rFonts w:ascii="Times New Roman" w:hAnsi="Times New Roman" w:cs="Times New Roman"/>
          <w:b/>
          <w:bCs/>
          <w:lang w:val="en-IN"/>
        </w:rPr>
        <w:t>Sample Size-</w:t>
      </w:r>
    </w:p>
    <w:p w:rsidR="000906CC" w:rsidRPr="009E544D" w:rsidRDefault="000906CC" w:rsidP="0082724A">
      <w:pPr>
        <w:autoSpaceDE w:val="0"/>
        <w:autoSpaceDN w:val="0"/>
        <w:adjustRightInd w:val="0"/>
        <w:spacing w:after="0"/>
        <w:jc w:val="both"/>
        <w:rPr>
          <w:rFonts w:ascii="Times New Roman" w:hAnsi="Times New Roman" w:cs="Times New Roman"/>
          <w:b/>
          <w:bCs/>
          <w:lang w:val="en-IN"/>
        </w:rPr>
      </w:pPr>
    </w:p>
    <w:p w:rsidR="0082724A" w:rsidRPr="009E544D" w:rsidRDefault="0082724A" w:rsidP="0082724A">
      <w:pPr>
        <w:autoSpaceDE w:val="0"/>
        <w:autoSpaceDN w:val="0"/>
        <w:adjustRightInd w:val="0"/>
        <w:spacing w:after="0"/>
        <w:jc w:val="both"/>
        <w:rPr>
          <w:rFonts w:ascii="Times New Roman" w:hAnsi="Times New Roman" w:cs="Times New Roman"/>
          <w:lang w:val="en-IN"/>
        </w:rPr>
      </w:pPr>
      <w:r w:rsidRPr="00742EFD">
        <w:rPr>
          <w:rFonts w:ascii="Times New Roman" w:hAnsi="Times New Roman" w:cs="Times New Roman"/>
          <w:lang w:val="en-IN"/>
        </w:rPr>
        <w:t xml:space="preserve">All </w:t>
      </w:r>
      <w:r w:rsidR="007F45E9" w:rsidRPr="00742EFD">
        <w:rPr>
          <w:rFonts w:ascii="Times New Roman" w:hAnsi="Times New Roman" w:cs="Times New Roman"/>
          <w:lang w:val="en-IN"/>
        </w:rPr>
        <w:t>North Eastern s</w:t>
      </w:r>
      <w:r w:rsidRPr="00742EFD">
        <w:rPr>
          <w:rFonts w:ascii="Times New Roman" w:hAnsi="Times New Roman" w:cs="Times New Roman"/>
          <w:lang w:val="en-IN"/>
        </w:rPr>
        <w:t>tates are malaria endemic except Sikkim. Based on the volume of LLINs distributed</w:t>
      </w:r>
      <w:r w:rsidR="00EE4D4B" w:rsidRPr="00742EFD">
        <w:rPr>
          <w:rFonts w:ascii="Times New Roman" w:hAnsi="Times New Roman" w:cs="Times New Roman"/>
          <w:lang w:val="en-IN"/>
        </w:rPr>
        <w:t xml:space="preserve"> the</w:t>
      </w:r>
      <w:r w:rsidRPr="00742EFD">
        <w:rPr>
          <w:rFonts w:ascii="Times New Roman" w:hAnsi="Times New Roman" w:cs="Times New Roman"/>
          <w:lang w:val="en-IN"/>
        </w:rPr>
        <w:t xml:space="preserve"> study would be conducted in the States of Assam, Meghalaya and Tripura. </w:t>
      </w:r>
      <w:r w:rsidR="00EE4D4B" w:rsidRPr="00742EFD">
        <w:rPr>
          <w:rFonts w:ascii="Times New Roman" w:hAnsi="Times New Roman" w:cs="Times New Roman"/>
          <w:lang w:val="en-IN"/>
        </w:rPr>
        <w:t>From each state two</w:t>
      </w:r>
      <w:r w:rsidR="00EE4D4B" w:rsidRPr="009E544D">
        <w:rPr>
          <w:rFonts w:ascii="Times New Roman" w:hAnsi="Times New Roman" w:cs="Times New Roman"/>
          <w:lang w:val="en-IN"/>
        </w:rPr>
        <w:t xml:space="preserve"> districts will be chosen.</w:t>
      </w:r>
      <w:r w:rsidRPr="009E544D">
        <w:rPr>
          <w:rFonts w:ascii="Times New Roman" w:hAnsi="Times New Roman" w:cs="Times New Roman"/>
          <w:lang w:val="en-IN"/>
        </w:rPr>
        <w:t xml:space="preserve"> The criteria for selection of the districts will be :</w:t>
      </w:r>
    </w:p>
    <w:p w:rsidR="0082724A" w:rsidRPr="009E544D" w:rsidRDefault="0082724A" w:rsidP="0082724A">
      <w:pPr>
        <w:pStyle w:val="ListParagraph"/>
        <w:numPr>
          <w:ilvl w:val="0"/>
          <w:numId w:val="5"/>
        </w:numPr>
        <w:autoSpaceDE w:val="0"/>
        <w:autoSpaceDN w:val="0"/>
        <w:adjustRightInd w:val="0"/>
        <w:spacing w:after="0"/>
        <w:jc w:val="both"/>
        <w:rPr>
          <w:rFonts w:ascii="Times New Roman" w:hAnsi="Times New Roman" w:cs="Times New Roman"/>
          <w:lang w:val="en-IN"/>
        </w:rPr>
      </w:pPr>
      <w:r w:rsidRPr="009E544D">
        <w:rPr>
          <w:rFonts w:ascii="Times New Roman" w:hAnsi="Times New Roman" w:cs="Times New Roman"/>
          <w:lang w:val="en-IN"/>
        </w:rPr>
        <w:t xml:space="preserve">The district which had an </w:t>
      </w:r>
      <w:r w:rsidRPr="000C502F">
        <w:rPr>
          <w:rFonts w:ascii="Times New Roman" w:hAnsi="Times New Roman" w:cs="Times New Roman"/>
          <w:bCs/>
          <w:lang w:val="en-IN"/>
        </w:rPr>
        <w:t>API &gt; 1</w:t>
      </w:r>
      <w:r w:rsidRPr="009E544D">
        <w:rPr>
          <w:rFonts w:ascii="Times New Roman" w:hAnsi="Times New Roman" w:cs="Times New Roman"/>
          <w:lang w:val="en-IN"/>
        </w:rPr>
        <w:t xml:space="preserve"> in 2015 but have now shown significant reduction from 2015 level. </w:t>
      </w:r>
    </w:p>
    <w:p w:rsidR="0082724A" w:rsidRPr="009E544D" w:rsidRDefault="0082724A" w:rsidP="0082724A">
      <w:pPr>
        <w:pStyle w:val="ListParagraph"/>
        <w:numPr>
          <w:ilvl w:val="0"/>
          <w:numId w:val="5"/>
        </w:numPr>
        <w:autoSpaceDE w:val="0"/>
        <w:autoSpaceDN w:val="0"/>
        <w:adjustRightInd w:val="0"/>
        <w:spacing w:after="0"/>
        <w:jc w:val="both"/>
        <w:rPr>
          <w:rFonts w:ascii="Times New Roman" w:hAnsi="Times New Roman" w:cs="Times New Roman"/>
          <w:lang w:val="en-IN"/>
        </w:rPr>
      </w:pPr>
      <w:r w:rsidRPr="009E544D">
        <w:rPr>
          <w:rFonts w:ascii="Times New Roman" w:hAnsi="Times New Roman" w:cs="Times New Roman"/>
          <w:lang w:val="en-IN"/>
        </w:rPr>
        <w:t xml:space="preserve">The other district where </w:t>
      </w:r>
      <w:r w:rsidR="00EE4D4B" w:rsidRPr="009E544D">
        <w:rPr>
          <w:rFonts w:ascii="Times New Roman" w:hAnsi="Times New Roman" w:cs="Times New Roman"/>
          <w:lang w:val="en-IN"/>
        </w:rPr>
        <w:t>low or no</w:t>
      </w:r>
      <w:r w:rsidRPr="009E544D">
        <w:rPr>
          <w:rFonts w:ascii="Times New Roman" w:hAnsi="Times New Roman" w:cs="Times New Roman"/>
          <w:lang w:val="en-IN"/>
        </w:rPr>
        <w:t xml:space="preserve"> reduction in  API reported in spite of the use of LLINs. </w:t>
      </w:r>
    </w:p>
    <w:p w:rsidR="0082724A" w:rsidRPr="009E544D" w:rsidRDefault="0082724A" w:rsidP="0082724A">
      <w:pPr>
        <w:autoSpaceDE w:val="0"/>
        <w:autoSpaceDN w:val="0"/>
        <w:adjustRightInd w:val="0"/>
        <w:spacing w:after="0"/>
        <w:jc w:val="both"/>
        <w:rPr>
          <w:rFonts w:ascii="Times New Roman" w:hAnsi="Times New Roman" w:cs="Times New Roman"/>
          <w:lang w:val="en-IN"/>
        </w:rPr>
      </w:pPr>
      <w:r w:rsidRPr="009E544D">
        <w:rPr>
          <w:rFonts w:ascii="Times New Roman" w:hAnsi="Times New Roman" w:cs="Times New Roman"/>
          <w:lang w:val="en-IN"/>
        </w:rPr>
        <w:t xml:space="preserve">This would help us understand the programmatic components and the beneficiary experiences which affect the impact of LLINs on reduction of malaria cases and deaths. </w:t>
      </w:r>
    </w:p>
    <w:p w:rsidR="0082724A" w:rsidRPr="009E544D" w:rsidRDefault="0082724A" w:rsidP="0082724A">
      <w:pPr>
        <w:autoSpaceDE w:val="0"/>
        <w:autoSpaceDN w:val="0"/>
        <w:adjustRightInd w:val="0"/>
        <w:spacing w:after="0"/>
        <w:jc w:val="both"/>
        <w:rPr>
          <w:rFonts w:ascii="Times New Roman" w:hAnsi="Times New Roman" w:cs="Times New Roman"/>
          <w:lang w:val="en-IN"/>
        </w:rPr>
      </w:pPr>
    </w:p>
    <w:p w:rsidR="0082724A" w:rsidRPr="009E544D" w:rsidRDefault="0082724A" w:rsidP="0082724A">
      <w:pPr>
        <w:autoSpaceDE w:val="0"/>
        <w:autoSpaceDN w:val="0"/>
        <w:adjustRightInd w:val="0"/>
        <w:spacing w:after="0"/>
        <w:jc w:val="both"/>
        <w:rPr>
          <w:rFonts w:ascii="Times New Roman" w:hAnsi="Times New Roman" w:cs="Times New Roman"/>
          <w:lang w:val="en-IN"/>
        </w:rPr>
      </w:pPr>
      <w:r w:rsidRPr="009E544D">
        <w:rPr>
          <w:rFonts w:ascii="Times New Roman" w:hAnsi="Times New Roman" w:cs="Times New Roman"/>
          <w:lang w:val="en-IN"/>
        </w:rPr>
        <w:t>In each of these districts two blocks will be chosen based on similar criteria used for district selection. Similarly</w:t>
      </w:r>
      <w:r w:rsidR="000C259A">
        <w:rPr>
          <w:rFonts w:ascii="Times New Roman" w:hAnsi="Times New Roman" w:cs="Times New Roman"/>
          <w:lang w:val="en-IN"/>
        </w:rPr>
        <w:t>,</w:t>
      </w:r>
      <w:r w:rsidRPr="009E544D">
        <w:rPr>
          <w:rFonts w:ascii="Times New Roman" w:hAnsi="Times New Roman" w:cs="Times New Roman"/>
          <w:lang w:val="en-IN"/>
        </w:rPr>
        <w:t xml:space="preserve"> at each block two Sub-centres will be chosen. </w:t>
      </w:r>
      <w:bookmarkStart w:id="2" w:name="_Hlk480190912"/>
      <w:r w:rsidRPr="009E544D">
        <w:rPr>
          <w:rFonts w:ascii="Times New Roman" w:hAnsi="Times New Roman" w:cs="Times New Roman"/>
          <w:lang w:val="en-IN"/>
        </w:rPr>
        <w:t xml:space="preserve">The villages covered under these sub-centres would be </w:t>
      </w:r>
      <w:bookmarkEnd w:id="2"/>
      <w:r w:rsidR="00B54D8E">
        <w:rPr>
          <w:rFonts w:ascii="Times New Roman" w:hAnsi="Times New Roman" w:cs="Times New Roman"/>
          <w:lang w:val="en-IN"/>
        </w:rPr>
        <w:t>selected</w:t>
      </w:r>
      <w:r w:rsidRPr="009E544D">
        <w:rPr>
          <w:rFonts w:ascii="Times New Roman" w:hAnsi="Times New Roman" w:cs="Times New Roman"/>
          <w:lang w:val="en-IN"/>
        </w:rPr>
        <w:t xml:space="preserve"> </w:t>
      </w:r>
      <w:r w:rsidR="00B54D8E">
        <w:rPr>
          <w:rFonts w:ascii="Times New Roman" w:hAnsi="Times New Roman" w:cs="Times New Roman"/>
          <w:lang w:val="en-IN"/>
        </w:rPr>
        <w:t>for househol</w:t>
      </w:r>
      <w:r w:rsidRPr="009E544D">
        <w:rPr>
          <w:rFonts w:ascii="Times New Roman" w:hAnsi="Times New Roman" w:cs="Times New Roman"/>
          <w:lang w:val="en-IN"/>
        </w:rPr>
        <w:t>d surveys and community level interviews and FGDs.</w:t>
      </w:r>
    </w:p>
    <w:p w:rsidR="0082724A" w:rsidRPr="009E544D" w:rsidRDefault="0082724A" w:rsidP="0082724A">
      <w:pPr>
        <w:autoSpaceDE w:val="0"/>
        <w:autoSpaceDN w:val="0"/>
        <w:adjustRightInd w:val="0"/>
        <w:spacing w:after="0"/>
        <w:jc w:val="both"/>
        <w:rPr>
          <w:rFonts w:ascii="Times New Roman" w:hAnsi="Times New Roman" w:cs="Times New Roman"/>
          <w:lang w:val="en-IN"/>
        </w:rPr>
      </w:pPr>
    </w:p>
    <w:p w:rsidR="0082724A" w:rsidRPr="009E544D" w:rsidRDefault="0082724A" w:rsidP="0082724A">
      <w:pPr>
        <w:autoSpaceDE w:val="0"/>
        <w:autoSpaceDN w:val="0"/>
        <w:adjustRightInd w:val="0"/>
        <w:spacing w:after="0"/>
        <w:jc w:val="both"/>
        <w:rPr>
          <w:rFonts w:ascii="Times New Roman" w:hAnsi="Times New Roman" w:cs="Times New Roman"/>
          <w:lang w:val="en-IN"/>
        </w:rPr>
      </w:pPr>
      <w:r w:rsidRPr="009E544D">
        <w:rPr>
          <w:rFonts w:ascii="Times New Roman" w:hAnsi="Times New Roman" w:cs="Times New Roman"/>
          <w:lang w:val="en-IN"/>
        </w:rPr>
        <w:t>The survey questionnaires, interview schedules and FGD guides will be developed with inputs from NVBDCP. A thematic analysis using an inductive process would be used for qualitative analysis. Quantitative data analysis would be done through MS Excel or any another statistical package.</w:t>
      </w:r>
    </w:p>
    <w:p w:rsidR="0082724A" w:rsidRPr="009E544D" w:rsidRDefault="0082724A" w:rsidP="0082724A">
      <w:pPr>
        <w:autoSpaceDE w:val="0"/>
        <w:autoSpaceDN w:val="0"/>
        <w:adjustRightInd w:val="0"/>
        <w:spacing w:after="0"/>
        <w:jc w:val="both"/>
        <w:rPr>
          <w:rFonts w:ascii="Times New Roman" w:hAnsi="Times New Roman" w:cs="Times New Roman"/>
          <w:lang w:val="en-IN"/>
        </w:rPr>
      </w:pPr>
    </w:p>
    <w:p w:rsidR="0082724A" w:rsidRPr="009E544D" w:rsidRDefault="0082724A" w:rsidP="0082724A">
      <w:pPr>
        <w:autoSpaceDE w:val="0"/>
        <w:autoSpaceDN w:val="0"/>
        <w:adjustRightInd w:val="0"/>
        <w:spacing w:after="0"/>
        <w:jc w:val="both"/>
        <w:rPr>
          <w:rFonts w:ascii="Times New Roman" w:hAnsi="Times New Roman" w:cs="Times New Roman"/>
          <w:b/>
          <w:highlight w:val="yellow"/>
          <w:lang w:val="en-IN"/>
        </w:rPr>
      </w:pPr>
    </w:p>
    <w:p w:rsidR="0082724A" w:rsidRPr="009E544D" w:rsidRDefault="0082724A" w:rsidP="0082724A">
      <w:pPr>
        <w:autoSpaceDE w:val="0"/>
        <w:autoSpaceDN w:val="0"/>
        <w:adjustRightInd w:val="0"/>
        <w:spacing w:after="0"/>
        <w:jc w:val="both"/>
        <w:rPr>
          <w:rFonts w:ascii="Times New Roman" w:hAnsi="Times New Roman" w:cs="Times New Roman"/>
          <w:b/>
          <w:highlight w:val="yellow"/>
          <w:lang w:val="en-IN"/>
        </w:rPr>
      </w:pPr>
    </w:p>
    <w:p w:rsidR="0082724A" w:rsidRPr="009E544D" w:rsidRDefault="0082724A" w:rsidP="0082724A">
      <w:pPr>
        <w:autoSpaceDE w:val="0"/>
        <w:autoSpaceDN w:val="0"/>
        <w:adjustRightInd w:val="0"/>
        <w:spacing w:after="0"/>
        <w:jc w:val="both"/>
        <w:rPr>
          <w:rFonts w:ascii="Times New Roman" w:hAnsi="Times New Roman" w:cs="Times New Roman"/>
          <w:b/>
          <w:lang w:val="en-IN"/>
        </w:rPr>
      </w:pPr>
    </w:p>
    <w:p w:rsidR="0082724A" w:rsidRPr="009E544D" w:rsidRDefault="0082724A" w:rsidP="0082724A">
      <w:pPr>
        <w:autoSpaceDE w:val="0"/>
        <w:autoSpaceDN w:val="0"/>
        <w:adjustRightInd w:val="0"/>
        <w:spacing w:after="0"/>
        <w:jc w:val="both"/>
        <w:rPr>
          <w:rFonts w:ascii="Times New Roman" w:hAnsi="Times New Roman" w:cs="Times New Roman"/>
          <w:b/>
          <w:lang w:val="en-IN"/>
        </w:rPr>
      </w:pPr>
      <w:r w:rsidRPr="009E544D">
        <w:rPr>
          <w:rFonts w:ascii="Times New Roman" w:hAnsi="Times New Roman" w:cs="Times New Roman"/>
          <w:b/>
          <w:lang w:val="en-IN"/>
        </w:rPr>
        <w:t>Timelines:</w:t>
      </w:r>
    </w:p>
    <w:p w:rsidR="0082724A" w:rsidRPr="009E544D" w:rsidRDefault="0082724A" w:rsidP="0082724A">
      <w:pPr>
        <w:pStyle w:val="ListParagraph"/>
        <w:numPr>
          <w:ilvl w:val="0"/>
          <w:numId w:val="2"/>
        </w:numPr>
        <w:autoSpaceDE w:val="0"/>
        <w:autoSpaceDN w:val="0"/>
        <w:adjustRightInd w:val="0"/>
        <w:spacing w:after="0"/>
        <w:jc w:val="both"/>
        <w:rPr>
          <w:rFonts w:ascii="Times New Roman" w:hAnsi="Times New Roman" w:cs="Times New Roman"/>
          <w:b/>
        </w:rPr>
      </w:pPr>
      <w:r w:rsidRPr="009E544D">
        <w:rPr>
          <w:rFonts w:ascii="Times New Roman" w:hAnsi="Times New Roman" w:cs="Times New Roman"/>
        </w:rPr>
        <w:t xml:space="preserve">Tool development, translation and field test –  2 months </w:t>
      </w:r>
    </w:p>
    <w:p w:rsidR="0082724A" w:rsidRPr="009E544D" w:rsidRDefault="0082724A" w:rsidP="0082724A">
      <w:pPr>
        <w:pStyle w:val="ListParagraph"/>
        <w:numPr>
          <w:ilvl w:val="0"/>
          <w:numId w:val="2"/>
        </w:numPr>
        <w:autoSpaceDE w:val="0"/>
        <w:autoSpaceDN w:val="0"/>
        <w:adjustRightInd w:val="0"/>
        <w:spacing w:after="0"/>
        <w:jc w:val="both"/>
        <w:rPr>
          <w:rFonts w:ascii="Times New Roman" w:hAnsi="Times New Roman" w:cs="Times New Roman"/>
          <w:b/>
        </w:rPr>
      </w:pPr>
      <w:r w:rsidRPr="009E544D">
        <w:rPr>
          <w:rFonts w:ascii="Times New Roman" w:hAnsi="Times New Roman" w:cs="Times New Roman"/>
        </w:rPr>
        <w:t xml:space="preserve">Data collection and analysis - 2 months </w:t>
      </w:r>
    </w:p>
    <w:p w:rsidR="0082724A" w:rsidRPr="009E544D" w:rsidRDefault="0082724A" w:rsidP="0082724A">
      <w:pPr>
        <w:pStyle w:val="ListParagraph"/>
        <w:numPr>
          <w:ilvl w:val="0"/>
          <w:numId w:val="2"/>
        </w:numPr>
        <w:autoSpaceDE w:val="0"/>
        <w:autoSpaceDN w:val="0"/>
        <w:adjustRightInd w:val="0"/>
        <w:spacing w:after="0"/>
        <w:jc w:val="both"/>
        <w:rPr>
          <w:rFonts w:ascii="Times New Roman" w:hAnsi="Times New Roman" w:cs="Times New Roman"/>
        </w:rPr>
      </w:pPr>
      <w:r w:rsidRPr="009E544D">
        <w:rPr>
          <w:rFonts w:ascii="Times New Roman" w:hAnsi="Times New Roman" w:cs="Times New Roman"/>
        </w:rPr>
        <w:t xml:space="preserve">Report writing -  1 month </w:t>
      </w:r>
    </w:p>
    <w:p w:rsidR="0082724A" w:rsidRPr="009E544D" w:rsidRDefault="0082724A" w:rsidP="0082724A">
      <w:pPr>
        <w:pStyle w:val="ListParagraph"/>
        <w:numPr>
          <w:ilvl w:val="0"/>
          <w:numId w:val="2"/>
        </w:numPr>
        <w:autoSpaceDE w:val="0"/>
        <w:autoSpaceDN w:val="0"/>
        <w:adjustRightInd w:val="0"/>
        <w:spacing w:after="0"/>
        <w:jc w:val="both"/>
        <w:rPr>
          <w:rFonts w:ascii="Times New Roman" w:hAnsi="Times New Roman" w:cs="Times New Roman"/>
        </w:rPr>
      </w:pPr>
      <w:r w:rsidRPr="009E544D">
        <w:rPr>
          <w:rFonts w:ascii="Times New Roman" w:hAnsi="Times New Roman" w:cs="Times New Roman"/>
        </w:rPr>
        <w:t xml:space="preserve">Finalization of report in consultation with NHSRC and </w:t>
      </w:r>
      <w:r w:rsidRPr="009E544D">
        <w:rPr>
          <w:rFonts w:ascii="Times New Roman" w:hAnsi="Times New Roman" w:cs="Times New Roman"/>
          <w:lang w:val="en-IN"/>
        </w:rPr>
        <w:t>NVBDCP  team</w:t>
      </w:r>
      <w:r w:rsidRPr="009E544D">
        <w:rPr>
          <w:rFonts w:ascii="Times New Roman" w:hAnsi="Times New Roman" w:cs="Times New Roman"/>
        </w:rPr>
        <w:t>– 1 month</w:t>
      </w:r>
    </w:p>
    <w:p w:rsidR="0082724A" w:rsidRPr="009E544D" w:rsidRDefault="0082724A" w:rsidP="0082724A">
      <w:pPr>
        <w:autoSpaceDE w:val="0"/>
        <w:autoSpaceDN w:val="0"/>
        <w:adjustRightInd w:val="0"/>
        <w:spacing w:after="0"/>
        <w:jc w:val="both"/>
        <w:rPr>
          <w:rFonts w:ascii="Times New Roman" w:hAnsi="Times New Roman" w:cs="Times New Roman"/>
          <w:lang w:val="en-IN"/>
        </w:rPr>
      </w:pPr>
    </w:p>
    <w:p w:rsidR="0082724A" w:rsidRPr="009E544D" w:rsidRDefault="0082724A" w:rsidP="0082724A">
      <w:pPr>
        <w:autoSpaceDE w:val="0"/>
        <w:autoSpaceDN w:val="0"/>
        <w:adjustRightInd w:val="0"/>
        <w:spacing w:after="0"/>
        <w:jc w:val="both"/>
        <w:rPr>
          <w:rFonts w:ascii="Times New Roman" w:hAnsi="Times New Roman" w:cs="Times New Roman"/>
          <w:b/>
          <w:bCs/>
          <w:lang w:val="en-IN"/>
        </w:rPr>
      </w:pPr>
      <w:r w:rsidRPr="009E544D">
        <w:rPr>
          <w:rFonts w:ascii="Times New Roman" w:hAnsi="Times New Roman" w:cs="Times New Roman"/>
          <w:b/>
          <w:bCs/>
          <w:lang w:val="en-IN"/>
        </w:rPr>
        <w:t xml:space="preserve">Who will conduct the </w:t>
      </w:r>
      <w:r w:rsidR="00B437A0">
        <w:rPr>
          <w:rFonts w:ascii="Times New Roman" w:hAnsi="Times New Roman" w:cs="Times New Roman"/>
          <w:b/>
          <w:bCs/>
          <w:lang w:val="en-IN"/>
        </w:rPr>
        <w:t>e</w:t>
      </w:r>
      <w:r w:rsidRPr="009E544D">
        <w:rPr>
          <w:rFonts w:ascii="Times New Roman" w:hAnsi="Times New Roman" w:cs="Times New Roman"/>
          <w:b/>
          <w:bCs/>
          <w:lang w:val="en-IN"/>
        </w:rPr>
        <w:t>valuation</w:t>
      </w:r>
      <w:r w:rsidR="00593A0C" w:rsidRPr="009E544D">
        <w:rPr>
          <w:rFonts w:ascii="Times New Roman" w:hAnsi="Times New Roman" w:cs="Times New Roman"/>
          <w:b/>
          <w:bCs/>
          <w:lang w:val="en-IN"/>
        </w:rPr>
        <w:t>-</w:t>
      </w:r>
    </w:p>
    <w:p w:rsidR="00593A0C" w:rsidRPr="009E544D" w:rsidRDefault="00593A0C" w:rsidP="0082724A">
      <w:pPr>
        <w:autoSpaceDE w:val="0"/>
        <w:autoSpaceDN w:val="0"/>
        <w:adjustRightInd w:val="0"/>
        <w:spacing w:after="0"/>
        <w:jc w:val="both"/>
        <w:rPr>
          <w:rFonts w:ascii="Times New Roman" w:hAnsi="Times New Roman" w:cs="Times New Roman"/>
          <w:b/>
          <w:bCs/>
          <w:lang w:val="en-IN"/>
        </w:rPr>
      </w:pPr>
    </w:p>
    <w:p w:rsidR="0082724A" w:rsidRPr="009E544D" w:rsidRDefault="0082724A" w:rsidP="0082724A">
      <w:pPr>
        <w:autoSpaceDE w:val="0"/>
        <w:autoSpaceDN w:val="0"/>
        <w:adjustRightInd w:val="0"/>
        <w:spacing w:after="0"/>
        <w:jc w:val="both"/>
        <w:rPr>
          <w:rFonts w:ascii="Times New Roman" w:hAnsi="Times New Roman" w:cs="Times New Roman"/>
          <w:lang w:val="en-IN"/>
        </w:rPr>
      </w:pPr>
      <w:r w:rsidRPr="009E544D">
        <w:rPr>
          <w:rFonts w:ascii="Times New Roman" w:hAnsi="Times New Roman" w:cs="Times New Roman"/>
          <w:lang w:val="en-IN"/>
        </w:rPr>
        <w:t>Organi</w:t>
      </w:r>
      <w:r w:rsidR="00EE4D4B" w:rsidRPr="009E544D">
        <w:rPr>
          <w:rFonts w:ascii="Times New Roman" w:hAnsi="Times New Roman" w:cs="Times New Roman"/>
          <w:lang w:val="en-IN"/>
        </w:rPr>
        <w:t>z</w:t>
      </w:r>
      <w:r w:rsidRPr="009E544D">
        <w:rPr>
          <w:rFonts w:ascii="Times New Roman" w:hAnsi="Times New Roman" w:cs="Times New Roman"/>
          <w:lang w:val="en-IN"/>
        </w:rPr>
        <w:t>ations with a credible track record of conducting evaluations would be considered eligible to conduct the evaluation. NGOs and academic institutions are eligible to apply to manage the evaluations at the state level. A consortium of two or more agencies with the requisite skill mix could also be considered. NHSRC will anchor the evaluation.</w:t>
      </w:r>
    </w:p>
    <w:p w:rsidR="0082724A" w:rsidRPr="009E544D" w:rsidRDefault="0082724A" w:rsidP="0082724A">
      <w:pPr>
        <w:autoSpaceDE w:val="0"/>
        <w:autoSpaceDN w:val="0"/>
        <w:adjustRightInd w:val="0"/>
        <w:spacing w:after="0"/>
        <w:jc w:val="both"/>
        <w:rPr>
          <w:rFonts w:ascii="Times New Roman" w:hAnsi="Times New Roman" w:cs="Times New Roman"/>
          <w:lang w:val="en-IN"/>
        </w:rPr>
      </w:pPr>
    </w:p>
    <w:p w:rsidR="0082724A" w:rsidRPr="009E544D" w:rsidRDefault="0082724A" w:rsidP="0082724A">
      <w:pPr>
        <w:autoSpaceDE w:val="0"/>
        <w:autoSpaceDN w:val="0"/>
        <w:adjustRightInd w:val="0"/>
        <w:spacing w:after="0"/>
        <w:jc w:val="both"/>
        <w:rPr>
          <w:rFonts w:ascii="Times New Roman" w:hAnsi="Times New Roman" w:cs="Times New Roman"/>
          <w:lang w:val="en-IN"/>
        </w:rPr>
      </w:pPr>
      <w:r w:rsidRPr="009E544D">
        <w:rPr>
          <w:rFonts w:ascii="Times New Roman" w:hAnsi="Times New Roman" w:cs="Times New Roman"/>
          <w:lang w:val="en-IN"/>
        </w:rPr>
        <w:t>NHSRC will work with the NVBDCP at MoHFW and will be responsible for selection of organizations to be involved, contribute to finalizing data collection instruments and tools, data review and analysis, establish state level linkages, review draft reports and provide inputs as required at various steps of the evaluation process.</w:t>
      </w:r>
    </w:p>
    <w:p w:rsidR="0082724A" w:rsidRPr="009E544D" w:rsidRDefault="0082724A" w:rsidP="0082724A">
      <w:pPr>
        <w:autoSpaceDE w:val="0"/>
        <w:autoSpaceDN w:val="0"/>
        <w:adjustRightInd w:val="0"/>
        <w:spacing w:after="0"/>
        <w:jc w:val="both"/>
        <w:rPr>
          <w:rFonts w:ascii="Times New Roman" w:hAnsi="Times New Roman" w:cs="Times New Roman"/>
          <w:lang w:val="en-IN"/>
        </w:rPr>
      </w:pPr>
    </w:p>
    <w:p w:rsidR="00DF24A6" w:rsidRPr="009E544D" w:rsidRDefault="0082724A" w:rsidP="00646A04">
      <w:pPr>
        <w:rPr>
          <w:rFonts w:ascii="Times New Roman" w:hAnsi="Times New Roman" w:cs="Times New Roman"/>
        </w:rPr>
      </w:pPr>
      <w:r w:rsidRPr="009E544D">
        <w:rPr>
          <w:rFonts w:ascii="Times New Roman" w:hAnsi="Times New Roman" w:cs="Times New Roman"/>
          <w:lang w:val="en-IN"/>
        </w:rPr>
        <w:t>NVBDCP will provide the evaluation team with key documents related to the LLI</w:t>
      </w:r>
      <w:r w:rsidR="006367C5" w:rsidRPr="009E544D">
        <w:rPr>
          <w:rFonts w:ascii="Times New Roman" w:hAnsi="Times New Roman" w:cs="Times New Roman"/>
          <w:lang w:val="en-IN"/>
        </w:rPr>
        <w:t>N</w:t>
      </w:r>
    </w:p>
    <w:sectPr w:rsidR="00DF24A6" w:rsidRPr="009E544D" w:rsidSect="007D2DCD">
      <w:pgSz w:w="11907" w:h="16839"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0A9" w:rsidRDefault="000C20A9" w:rsidP="0082724A">
      <w:pPr>
        <w:spacing w:after="0" w:line="240" w:lineRule="auto"/>
      </w:pPr>
      <w:r>
        <w:separator/>
      </w:r>
    </w:p>
  </w:endnote>
  <w:endnote w:type="continuationSeparator" w:id="0">
    <w:p w:rsidR="000C20A9" w:rsidRDefault="000C20A9" w:rsidP="0082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CALG K+ Trebuchet MS">
    <w:altName w:val="Trebuchet M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0A9" w:rsidRDefault="000C20A9" w:rsidP="0082724A">
      <w:pPr>
        <w:spacing w:after="0" w:line="240" w:lineRule="auto"/>
      </w:pPr>
      <w:r>
        <w:separator/>
      </w:r>
    </w:p>
  </w:footnote>
  <w:footnote w:type="continuationSeparator" w:id="0">
    <w:p w:rsidR="000C20A9" w:rsidRDefault="000C20A9" w:rsidP="0082724A">
      <w:pPr>
        <w:spacing w:after="0" w:line="240" w:lineRule="auto"/>
      </w:pPr>
      <w:r>
        <w:continuationSeparator/>
      </w:r>
    </w:p>
  </w:footnote>
  <w:footnote w:id="1">
    <w:p w:rsidR="0082724A" w:rsidRDefault="0082724A" w:rsidP="0082724A">
      <w:pPr>
        <w:pStyle w:val="FootnoteText"/>
      </w:pPr>
      <w:r>
        <w:rPr>
          <w:rStyle w:val="FootnoteReference"/>
        </w:rPr>
        <w:footnoteRef/>
      </w:r>
      <w:r>
        <w:t xml:space="preserve"> WHO recommendations for achieving universal coverage with long-lasting insecticidal nets in malaria control, September 2013 (revised March 2014)</w:t>
      </w:r>
    </w:p>
  </w:footnote>
  <w:footnote w:id="2">
    <w:p w:rsidR="0082724A" w:rsidRDefault="0082724A" w:rsidP="0082724A">
      <w:pPr>
        <w:pStyle w:val="FootnoteText"/>
      </w:pPr>
      <w:r>
        <w:rPr>
          <w:rStyle w:val="FootnoteReference"/>
        </w:rPr>
        <w:footnoteRef/>
      </w:r>
      <w:r>
        <w:t xml:space="preserve"> Operational Manual for Elimination in India, 2016 (Version 1), </w:t>
      </w:r>
      <w:r w:rsidRPr="006B54DB">
        <w:t xml:space="preserve"> http://nvbdcp.gov.in/Doc/Operational-Manual-Malaria-2016-Version-1.pdf</w:t>
      </w:r>
    </w:p>
  </w:footnote>
  <w:footnote w:id="3">
    <w:p w:rsidR="0082724A" w:rsidRDefault="0082724A" w:rsidP="0082724A">
      <w:pPr>
        <w:autoSpaceDE w:val="0"/>
        <w:autoSpaceDN w:val="0"/>
        <w:adjustRightInd w:val="0"/>
        <w:spacing w:after="0" w:line="240" w:lineRule="auto"/>
      </w:pPr>
      <w:r w:rsidRPr="005E4710">
        <w:rPr>
          <w:rStyle w:val="FootnoteReference"/>
          <w:sz w:val="20"/>
          <w:szCs w:val="20"/>
        </w:rPr>
        <w:footnoteRef/>
      </w:r>
      <w:r>
        <w:t xml:space="preserve"> </w:t>
      </w:r>
      <w:r w:rsidRPr="008041B1">
        <w:rPr>
          <w:rFonts w:cs="Times New Roman"/>
          <w:sz w:val="20"/>
          <w:szCs w:val="20"/>
        </w:rPr>
        <w:t>Curtis CF, Myamba J, Wilkes TJ. Comparison of different insecticides and fabrics for anti-mosquito bed nets and curtains. Med Vet</w:t>
      </w:r>
      <w:r>
        <w:rPr>
          <w:rFonts w:cs="Times New Roman"/>
          <w:sz w:val="20"/>
          <w:szCs w:val="20"/>
        </w:rPr>
        <w:t xml:space="preserve"> Entomol 1996; 10: 1-11</w:t>
      </w:r>
    </w:p>
  </w:footnote>
  <w:footnote w:id="4">
    <w:p w:rsidR="0082724A" w:rsidRDefault="0082724A" w:rsidP="0082724A">
      <w:pPr>
        <w:autoSpaceDE w:val="0"/>
        <w:autoSpaceDN w:val="0"/>
        <w:adjustRightInd w:val="0"/>
        <w:spacing w:after="0"/>
        <w:jc w:val="both"/>
      </w:pPr>
      <w:r>
        <w:rPr>
          <w:rStyle w:val="FootnoteReference"/>
        </w:rPr>
        <w:footnoteRef/>
      </w:r>
      <w:r>
        <w:t xml:space="preserve"> </w:t>
      </w:r>
      <w:r w:rsidRPr="00E34372">
        <w:rPr>
          <w:sz w:val="20"/>
          <w:szCs w:val="20"/>
        </w:rPr>
        <w:t xml:space="preserve">Dev V, Barman K, Khound K. </w:t>
      </w:r>
      <w:r w:rsidRPr="00E34372">
        <w:rPr>
          <w:bCs/>
          <w:sz w:val="20"/>
          <w:szCs w:val="20"/>
        </w:rPr>
        <w:t xml:space="preserve">A cross-sectional study assessing the residual bio-efficacy and durability of field-distributed long-lasting insecticidal nets in malaria endemic ethnic communities of Assam, Northeast India. </w:t>
      </w:r>
      <w:r w:rsidRPr="00E34372">
        <w:rPr>
          <w:sz w:val="20"/>
          <w:szCs w:val="20"/>
        </w:rPr>
        <w:t xml:space="preserve">Journal of Infection and Public Health (2016) </w:t>
      </w:r>
      <w:r w:rsidRPr="00E34372">
        <w:rPr>
          <w:rFonts w:cs="JCALG K+ Trebuchet MS"/>
          <w:bCs/>
          <w:sz w:val="20"/>
          <w:szCs w:val="20"/>
        </w:rPr>
        <w:t>9</w:t>
      </w:r>
      <w:r w:rsidRPr="00E34372">
        <w:rPr>
          <w:sz w:val="20"/>
          <w:szCs w:val="20"/>
        </w:rPr>
        <w:t>, 298—307</w:t>
      </w:r>
      <w:r>
        <w:rPr>
          <w:sz w:val="20"/>
          <w:szCs w:val="20"/>
        </w:rPr>
        <w:t>.</w:t>
      </w:r>
    </w:p>
  </w:footnote>
  <w:footnote w:id="5">
    <w:p w:rsidR="0082724A" w:rsidRDefault="0082724A" w:rsidP="0082724A">
      <w:pPr>
        <w:pStyle w:val="FootnoteText"/>
        <w:jc w:val="both"/>
      </w:pPr>
      <w:r>
        <w:rPr>
          <w:rStyle w:val="FootnoteReference"/>
        </w:rPr>
        <w:footnoteRef/>
      </w:r>
      <w:r>
        <w:t xml:space="preserve"> </w:t>
      </w:r>
      <w:r w:rsidRPr="00CF691E">
        <w:t>National Vector Borne Disease Control Programme,</w:t>
      </w:r>
      <w:r>
        <w:t xml:space="preserve"> </w:t>
      </w:r>
      <w:r w:rsidRPr="00CF691E">
        <w:t>Directorate General of Health Services, Ministry of</w:t>
      </w:r>
      <w:r>
        <w:t xml:space="preserve"> </w:t>
      </w:r>
      <w:r w:rsidRPr="00CF691E">
        <w:t>Health and Family Welfare, Government of India. Action</w:t>
      </w:r>
      <w:r>
        <w:t xml:space="preserve"> </w:t>
      </w:r>
      <w:r w:rsidRPr="00CF691E">
        <w:t>plan for scaling up long lasting insecticidal nets for</w:t>
      </w:r>
      <w:r>
        <w:t xml:space="preserve"> </w:t>
      </w:r>
      <w:r w:rsidRPr="00CF691E">
        <w:t>malaria control in India. http://www.nvbdcp.gov.in/Doc/LLIN-Action-Plan-2009.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03D6"/>
    <w:multiLevelType w:val="hybridMultilevel"/>
    <w:tmpl w:val="C062E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24D79"/>
    <w:multiLevelType w:val="hybridMultilevel"/>
    <w:tmpl w:val="F0F6B780"/>
    <w:lvl w:ilvl="0" w:tplc="EDFC6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7124C"/>
    <w:multiLevelType w:val="hybridMultilevel"/>
    <w:tmpl w:val="3398B7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0830FA"/>
    <w:multiLevelType w:val="hybridMultilevel"/>
    <w:tmpl w:val="3DA8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77143"/>
    <w:multiLevelType w:val="hybridMultilevel"/>
    <w:tmpl w:val="3398B7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8E"/>
    <w:rsid w:val="0003351C"/>
    <w:rsid w:val="00055900"/>
    <w:rsid w:val="000906CC"/>
    <w:rsid w:val="000A342E"/>
    <w:rsid w:val="000C20A9"/>
    <w:rsid w:val="000C259A"/>
    <w:rsid w:val="000C502F"/>
    <w:rsid w:val="000D42AA"/>
    <w:rsid w:val="000E0785"/>
    <w:rsid w:val="00160B2A"/>
    <w:rsid w:val="00212E2C"/>
    <w:rsid w:val="0025772C"/>
    <w:rsid w:val="002D5471"/>
    <w:rsid w:val="003B6286"/>
    <w:rsid w:val="003C6E83"/>
    <w:rsid w:val="00437F6D"/>
    <w:rsid w:val="00486317"/>
    <w:rsid w:val="004F6E12"/>
    <w:rsid w:val="005215F8"/>
    <w:rsid w:val="00547CD3"/>
    <w:rsid w:val="00593A0C"/>
    <w:rsid w:val="005B3DA3"/>
    <w:rsid w:val="005B6E5D"/>
    <w:rsid w:val="006367C5"/>
    <w:rsid w:val="00646A04"/>
    <w:rsid w:val="00647384"/>
    <w:rsid w:val="00650D8E"/>
    <w:rsid w:val="00681361"/>
    <w:rsid w:val="00696A45"/>
    <w:rsid w:val="006A6E36"/>
    <w:rsid w:val="006C4031"/>
    <w:rsid w:val="006E7D2C"/>
    <w:rsid w:val="007022E6"/>
    <w:rsid w:val="00712E7F"/>
    <w:rsid w:val="00742EFD"/>
    <w:rsid w:val="007479AE"/>
    <w:rsid w:val="007B1BD0"/>
    <w:rsid w:val="007C634B"/>
    <w:rsid w:val="007D2DCD"/>
    <w:rsid w:val="007F45E9"/>
    <w:rsid w:val="007F7665"/>
    <w:rsid w:val="008160C0"/>
    <w:rsid w:val="0082724A"/>
    <w:rsid w:val="00866A29"/>
    <w:rsid w:val="008764A1"/>
    <w:rsid w:val="00892F9E"/>
    <w:rsid w:val="008C5E7F"/>
    <w:rsid w:val="00970F9E"/>
    <w:rsid w:val="00975839"/>
    <w:rsid w:val="009E544D"/>
    <w:rsid w:val="00A63A5E"/>
    <w:rsid w:val="00AD074E"/>
    <w:rsid w:val="00AD09CE"/>
    <w:rsid w:val="00B437A0"/>
    <w:rsid w:val="00B51D26"/>
    <w:rsid w:val="00B54D8E"/>
    <w:rsid w:val="00BA6DA4"/>
    <w:rsid w:val="00BE139C"/>
    <w:rsid w:val="00BF2C83"/>
    <w:rsid w:val="00C54921"/>
    <w:rsid w:val="00C65C7A"/>
    <w:rsid w:val="00CD0260"/>
    <w:rsid w:val="00D1395A"/>
    <w:rsid w:val="00D42F07"/>
    <w:rsid w:val="00DE7634"/>
    <w:rsid w:val="00DF24A6"/>
    <w:rsid w:val="00E81300"/>
    <w:rsid w:val="00EE4D4B"/>
    <w:rsid w:val="00F052F8"/>
    <w:rsid w:val="00F93D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33E0C9"/>
  <w15:docId w15:val="{60D4ABB1-1DC0-4CEE-B2E4-AECA9C0D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50D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471"/>
    <w:pPr>
      <w:ind w:left="720"/>
      <w:contextualSpacing/>
    </w:pPr>
  </w:style>
  <w:style w:type="paragraph" w:styleId="BalloonText">
    <w:name w:val="Balloon Text"/>
    <w:basedOn w:val="Normal"/>
    <w:link w:val="BalloonTextChar"/>
    <w:uiPriority w:val="99"/>
    <w:semiHidden/>
    <w:unhideWhenUsed/>
    <w:rsid w:val="00D13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95A"/>
    <w:rPr>
      <w:rFonts w:ascii="Segoe UI" w:hAnsi="Segoe UI" w:cs="Segoe UI"/>
      <w:sz w:val="18"/>
      <w:szCs w:val="18"/>
    </w:rPr>
  </w:style>
  <w:style w:type="paragraph" w:customStyle="1" w:styleId="Default">
    <w:name w:val="Default"/>
    <w:rsid w:val="0082724A"/>
    <w:pPr>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unhideWhenUsed/>
    <w:rsid w:val="0082724A"/>
    <w:pPr>
      <w:spacing w:after="0" w:line="240" w:lineRule="auto"/>
    </w:pPr>
    <w:rPr>
      <w:sz w:val="20"/>
      <w:szCs w:val="20"/>
    </w:rPr>
  </w:style>
  <w:style w:type="character" w:customStyle="1" w:styleId="FootnoteTextChar">
    <w:name w:val="Footnote Text Char"/>
    <w:basedOn w:val="DefaultParagraphFont"/>
    <w:link w:val="FootnoteText"/>
    <w:uiPriority w:val="99"/>
    <w:rsid w:val="0082724A"/>
    <w:rPr>
      <w:sz w:val="20"/>
      <w:szCs w:val="20"/>
    </w:rPr>
  </w:style>
  <w:style w:type="character" w:styleId="FootnoteReference">
    <w:name w:val="footnote reference"/>
    <w:basedOn w:val="DefaultParagraphFont"/>
    <w:uiPriority w:val="99"/>
    <w:semiHidden/>
    <w:unhideWhenUsed/>
    <w:rsid w:val="0082724A"/>
    <w:rPr>
      <w:vertAlign w:val="superscript"/>
    </w:rPr>
  </w:style>
  <w:style w:type="table" w:styleId="TableGrid">
    <w:name w:val="Table Grid"/>
    <w:basedOn w:val="TableNormal"/>
    <w:uiPriority w:val="59"/>
    <w:rsid w:val="0082724A"/>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72456">
      <w:bodyDiv w:val="1"/>
      <w:marLeft w:val="0"/>
      <w:marRight w:val="0"/>
      <w:marTop w:val="0"/>
      <w:marBottom w:val="0"/>
      <w:divBdr>
        <w:top w:val="none" w:sz="0" w:space="0" w:color="auto"/>
        <w:left w:val="none" w:sz="0" w:space="0" w:color="auto"/>
        <w:bottom w:val="none" w:sz="0" w:space="0" w:color="auto"/>
        <w:right w:val="none" w:sz="0" w:space="0" w:color="auto"/>
      </w:divBdr>
    </w:div>
    <w:div w:id="1671828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40DE2-305A-47E7-9F2A-BAE51BEB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Patle</dc:creator>
  <cp:lastModifiedBy>Garima</cp:lastModifiedBy>
  <cp:revision>5</cp:revision>
  <cp:lastPrinted>2017-04-18T04:50:00Z</cp:lastPrinted>
  <dcterms:created xsi:type="dcterms:W3CDTF">2017-06-05T09:18:00Z</dcterms:created>
  <dcterms:modified xsi:type="dcterms:W3CDTF">2017-06-05T09:25:00Z</dcterms:modified>
</cp:coreProperties>
</file>