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24"/>
          <w:szCs w:val="24"/>
          <w:lang w:eastAsia="en-US"/>
        </w:rPr>
        <w:id w:val="-1081830674"/>
        <w:docPartObj>
          <w:docPartGallery w:val="Cover Pages"/>
          <w:docPartUnique/>
        </w:docPartObj>
      </w:sdtPr>
      <w:sdtEndPr>
        <w:rPr>
          <w:rFonts w:eastAsiaTheme="minorHAnsi" w:cstheme="minorBidi"/>
        </w:rPr>
      </w:sdtEndPr>
      <w:sdtContent>
        <w:p w:rsidR="006A68A4" w:rsidRPr="006A68A4" w:rsidRDefault="00D20074" w:rsidP="006A68A4">
          <w:pPr>
            <w:pStyle w:val="NoSpacing"/>
            <w:spacing w:line="264" w:lineRule="auto"/>
            <w:contextualSpacing/>
            <w:jc w:val="both"/>
            <w:rPr>
              <w:rFonts w:asciiTheme="majorHAnsi" w:eastAsiaTheme="majorEastAsia" w:hAnsiTheme="majorHAnsi" w:cstheme="majorBidi"/>
              <w:sz w:val="24"/>
              <w:szCs w:val="24"/>
            </w:rPr>
          </w:pPr>
          <w:r w:rsidRPr="00D20074">
            <w:rPr>
              <w:rFonts w:asciiTheme="majorHAnsi" w:hAnsiTheme="majorHAnsi"/>
              <w:noProof/>
              <w:sz w:val="24"/>
              <w:szCs w:val="24"/>
              <w:lang w:eastAsia="en-US"/>
            </w:rPr>
            <w:pict>
              <v:rect id="Rectangle 2" o:spid="_x0000_s1026" style="position:absolute;left:0;text-align:left;margin-left:0;margin-top:0;width:642.6pt;height:64.4pt;z-index:251659264;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" o:allowincell="f" fillcolor="#4bacc6 [3208]" strokecolor="#4f81bd [3204]">
                <w10:wrap anchorx="page" anchory="page"/>
              </v:rect>
            </w:pict>
          </w:r>
          <w:r w:rsidRPr="00D20074">
            <w:rPr>
              <w:rFonts w:asciiTheme="majorHAnsi" w:hAnsiTheme="majorHAnsi"/>
              <w:noProof/>
              <w:sz w:val="24"/>
              <w:szCs w:val="24"/>
              <w:lang w:eastAsia="en-US"/>
            </w:rPr>
            <w:pict>
              <v:rect id="Rectangle 5" o:spid="_x0000_s1038" style="position:absolute;left:0;text-align:left;margin-left:0;margin-top:0;width:7.15pt;height:831.2pt;z-index:251662336;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" o:allowincell="f" strokecolor="#4f81bd [3204]">
                <w10:wrap anchorx="margin" anchory="page"/>
              </v:rect>
            </w:pict>
          </w:r>
          <w:r w:rsidRPr="00D20074">
            <w:rPr>
              <w:rFonts w:asciiTheme="majorHAnsi" w:hAnsiTheme="majorHAnsi"/>
              <w:noProof/>
              <w:sz w:val="24"/>
              <w:szCs w:val="24"/>
              <w:lang w:eastAsia="en-US"/>
            </w:rPr>
            <w:pict>
              <v:rect id="Rectangle 4" o:spid="_x0000_s1037" style="position:absolute;left:0;text-align:left;margin-left:0;margin-top:0;width:7.15pt;height:831.2pt;z-index:251661312;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sf7t+ScCAAA/BAAADgAAAAAAAAAAAAAAAAAuAgAAZHJzL2Uyb0Rv&#10;Yy54bWxQSwECLQAUAAYACAAAACEAfSHic90AAAAFAQAADwAAAAAAAAAAAAAAAACBBAAAZHJzL2Rv&#10;d25yZXYueG1sUEsFBgAAAAAEAAQA8wAAAIsFAAAAAA==&#10;" o:allowincell="f" strokecolor="#4f81bd [3204]">
                <w10:wrap anchorx="margin" anchory="page"/>
              </v:rect>
            </w:pict>
          </w:r>
          <w:r w:rsidRPr="00D20074">
            <w:rPr>
              <w:rFonts w:asciiTheme="majorHAnsi" w:hAnsiTheme="majorHAnsi"/>
              <w:noProof/>
              <w:sz w:val="24"/>
              <w:szCs w:val="24"/>
              <w:lang w:eastAsia="en-US"/>
            </w:rPr>
            <w:pict>
              <v:rect id="Rectangle 3" o:spid="_x0000_s1036" style="position:absolute;left:0;text-align:left;margin-left:0;margin-top:0;width:642.6pt;height:64.8pt;z-index:251660288;visibility:visible;mso-width-percent:1050;mso-height-percent:900;mso-position-horizontal:center;mso-position-horizontal-relative:page;mso-position-vertical:top;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" o:allowincell="f" fillcolor="#4bacc6 [3208]" strokecolor="#4f81bd [3204]">
                <w10:wrap anchorx="page" anchory="margin"/>
              </v:rect>
            </w:pict>
          </w:r>
        </w:p>
        <w:sdt>
          <w:sdtPr>
            <w:rPr>
              <w:rFonts w:asciiTheme="majorHAnsi" w:eastAsiaTheme="majorEastAsia" w:hAnsiTheme="majorHAnsi" w:cstheme="majorBidi"/>
              <w:b/>
              <w:sz w:val="40"/>
              <w:szCs w:val="40"/>
            </w:rPr>
            <w:alias w:val="Title"/>
            <w:id w:val="14700071"/>
            <w:placeholder>
              <w:docPart w:val="CBDBB494B03447868A647FDCE599AC7D"/>
            </w:placeholder>
            <w:dataBinding w:prefixMappings="xmlns:ns0='http://schemas.openxmlformats.org/package/2006/metadata/core-properties' xmlns:ns1='http://purl.org/dc/elements/1.1/'" w:xpath="/ns0:coreProperties[1]/ns1:title[1]" w:storeItemID="{6C3C8BC8-F283-45AE-878A-BAB7291924A1}"/>
            <w:text/>
          </w:sdtPr>
          <w:sdtContent>
            <w:p w:rsidR="006A68A4" w:rsidRPr="00250D7B" w:rsidRDefault="00EF7312" w:rsidP="006A68A4">
              <w:pPr>
                <w:pStyle w:val="NoSpacing"/>
                <w:spacing w:line="264" w:lineRule="auto"/>
                <w:contextualSpacing/>
                <w:jc w:val="both"/>
                <w:rPr>
                  <w:rFonts w:asciiTheme="majorHAnsi" w:eastAsiaTheme="majorEastAsia" w:hAnsiTheme="majorHAnsi" w:cstheme="majorBidi"/>
                  <w:b/>
                  <w:sz w:val="40"/>
                  <w:szCs w:val="40"/>
                </w:rPr>
              </w:pPr>
              <w:r>
                <w:rPr>
                  <w:rFonts w:asciiTheme="majorHAnsi" w:eastAsiaTheme="majorEastAsia" w:hAnsiTheme="majorHAnsi" w:cstheme="majorBidi"/>
                  <w:b/>
                  <w:sz w:val="40"/>
                  <w:szCs w:val="40"/>
                </w:rPr>
                <w:t>Understanding Urban Health</w:t>
              </w:r>
            </w:p>
          </w:sdtContent>
        </w:sdt>
        <w:sdt>
          <w:sdtPr>
            <w:rPr>
              <w:rFonts w:asciiTheme="majorHAnsi" w:eastAsiaTheme="majorEastAsia" w:hAnsiTheme="majorHAnsi" w:cstheme="majorBidi"/>
              <w:b/>
              <w:sz w:val="24"/>
              <w:szCs w:val="24"/>
            </w:rPr>
            <w:alias w:val="Subtitle"/>
            <w:id w:val="14700077"/>
            <w:placeholder>
              <w:docPart w:val="4BF24DDA965D4765BDE75E17D21C530C"/>
            </w:placeholder>
            <w:dataBinding w:prefixMappings="xmlns:ns0='http://schemas.openxmlformats.org/package/2006/metadata/core-properties' xmlns:ns1='http://purl.org/dc/elements/1.1/'" w:xpath="/ns0:coreProperties[1]/ns1:subject[1]" w:storeItemID="{6C3C8BC8-F283-45AE-878A-BAB7291924A1}"/>
            <w:text/>
          </w:sdtPr>
          <w:sdtContent>
            <w:p w:rsidR="006A68A4" w:rsidRPr="006A68A4" w:rsidRDefault="00EF7312" w:rsidP="006A68A4">
              <w:pPr>
                <w:pStyle w:val="NoSpacing"/>
                <w:spacing w:line="264" w:lineRule="auto"/>
                <w:contextualSpacing/>
                <w:jc w:val="both"/>
                <w:rPr>
                  <w:rFonts w:asciiTheme="majorHAnsi" w:eastAsiaTheme="majorEastAsia" w:hAnsiTheme="majorHAnsi" w:cstheme="majorBidi"/>
                  <w:sz w:val="24"/>
                  <w:szCs w:val="24"/>
                </w:rPr>
              </w:pPr>
              <w:r>
                <w:rPr>
                  <w:rFonts w:asciiTheme="majorHAnsi" w:eastAsiaTheme="majorEastAsia" w:hAnsiTheme="majorHAnsi" w:cstheme="majorBidi"/>
                  <w:b/>
                  <w:sz w:val="24"/>
                  <w:szCs w:val="24"/>
                </w:rPr>
                <w:t>An Analysis of Secondary Literature and Data</w:t>
              </w:r>
            </w:p>
          </w:sdtContent>
        </w:sdt>
        <w:p w:rsidR="006A68A4" w:rsidRPr="006A68A4" w:rsidRDefault="006A68A4" w:rsidP="006A68A4">
          <w:pPr>
            <w:pStyle w:val="NoSpacing"/>
            <w:spacing w:line="264" w:lineRule="auto"/>
            <w:contextualSpacing/>
            <w:jc w:val="both"/>
            <w:rPr>
              <w:rFonts w:asciiTheme="majorHAnsi" w:eastAsiaTheme="majorEastAsia" w:hAnsiTheme="majorHAnsi" w:cstheme="majorBidi"/>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Default="006A68A4" w:rsidP="006A68A4">
          <w:pPr>
            <w:spacing w:line="264" w:lineRule="auto"/>
            <w:contextualSpacing/>
            <w:jc w:val="both"/>
            <w:rPr>
              <w:rFonts w:asciiTheme="majorHAnsi" w:hAnsiTheme="majorHAnsi"/>
              <w:b/>
              <w:sz w:val="24"/>
              <w:szCs w:val="24"/>
            </w:rPr>
          </w:pPr>
        </w:p>
        <w:p w:rsidR="00DB2913" w:rsidRDefault="00DB2913" w:rsidP="006A68A4">
          <w:pPr>
            <w:spacing w:line="264" w:lineRule="auto"/>
            <w:contextualSpacing/>
            <w:jc w:val="both"/>
            <w:rPr>
              <w:rFonts w:asciiTheme="majorHAnsi" w:hAnsiTheme="majorHAnsi"/>
              <w:b/>
              <w:sz w:val="24"/>
              <w:szCs w:val="24"/>
            </w:rPr>
          </w:pPr>
        </w:p>
        <w:p w:rsidR="00DB2913" w:rsidRDefault="00DB2913" w:rsidP="006A68A4">
          <w:pPr>
            <w:spacing w:line="264" w:lineRule="auto"/>
            <w:contextualSpacing/>
            <w:jc w:val="both"/>
            <w:rPr>
              <w:rFonts w:asciiTheme="majorHAnsi" w:hAnsiTheme="majorHAnsi"/>
              <w:b/>
              <w:sz w:val="24"/>
              <w:szCs w:val="24"/>
            </w:rPr>
          </w:pPr>
        </w:p>
        <w:p w:rsidR="00DB2913" w:rsidRDefault="00DB2913" w:rsidP="006A68A4">
          <w:pPr>
            <w:spacing w:line="264" w:lineRule="auto"/>
            <w:contextualSpacing/>
            <w:jc w:val="both"/>
            <w:rPr>
              <w:rFonts w:asciiTheme="majorHAnsi" w:hAnsiTheme="majorHAnsi"/>
              <w:b/>
              <w:sz w:val="24"/>
              <w:szCs w:val="24"/>
            </w:rPr>
          </w:pPr>
        </w:p>
        <w:p w:rsidR="00DB2913" w:rsidRDefault="00DB2913" w:rsidP="006A68A4">
          <w:pPr>
            <w:spacing w:line="264" w:lineRule="auto"/>
            <w:contextualSpacing/>
            <w:jc w:val="both"/>
            <w:rPr>
              <w:rFonts w:asciiTheme="majorHAnsi" w:hAnsiTheme="majorHAnsi"/>
              <w:b/>
              <w:sz w:val="24"/>
              <w:szCs w:val="24"/>
            </w:rPr>
          </w:pPr>
        </w:p>
        <w:p w:rsidR="00DB2913" w:rsidRPr="006A68A4" w:rsidRDefault="00DB2913"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Default="008B47C1" w:rsidP="006A68A4">
          <w:pPr>
            <w:spacing w:line="264" w:lineRule="auto"/>
            <w:contextualSpacing/>
            <w:jc w:val="both"/>
            <w:rPr>
              <w:rFonts w:asciiTheme="majorHAnsi" w:hAnsiTheme="majorHAnsi"/>
              <w:b/>
              <w:sz w:val="24"/>
              <w:szCs w:val="24"/>
            </w:rPr>
          </w:pPr>
          <w:r>
            <w:rPr>
              <w:rFonts w:asciiTheme="majorHAnsi" w:hAnsiTheme="majorHAnsi"/>
              <w:b/>
              <w:sz w:val="24"/>
              <w:szCs w:val="24"/>
            </w:rPr>
            <w:t>Working Groups:</w:t>
          </w:r>
        </w:p>
        <w:p w:rsidR="00DB2913" w:rsidRDefault="00DB2913" w:rsidP="006A68A4">
          <w:pPr>
            <w:spacing w:line="264" w:lineRule="auto"/>
            <w:contextualSpacing/>
            <w:jc w:val="both"/>
            <w:rPr>
              <w:rFonts w:asciiTheme="majorHAnsi" w:hAnsiTheme="majorHAnsi"/>
              <w:b/>
              <w:sz w:val="24"/>
              <w:szCs w:val="24"/>
            </w:rPr>
          </w:pPr>
          <w:bookmarkStart w:id="0" w:name="_GoBack"/>
          <w:bookmarkEnd w:id="0"/>
        </w:p>
        <w:p w:rsidR="00DB2913" w:rsidRDefault="00DB2913" w:rsidP="006A68A4">
          <w:pPr>
            <w:spacing w:line="264" w:lineRule="auto"/>
            <w:contextualSpacing/>
            <w:jc w:val="both"/>
            <w:rPr>
              <w:rFonts w:asciiTheme="majorHAnsi" w:hAnsiTheme="majorHAnsi"/>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68"/>
            <w:gridCol w:w="1890"/>
          </w:tblGrid>
          <w:tr w:rsidR="00DB2913" w:rsidTr="00DB2913">
            <w:trPr>
              <w:trHeight w:val="182"/>
            </w:trPr>
            <w:tc>
              <w:tcPr>
                <w:tcW w:w="7668" w:type="dxa"/>
              </w:tcPr>
              <w:p w:rsidR="00DB2913" w:rsidRDefault="00DB2913" w:rsidP="006A68A4">
                <w:pPr>
                  <w:spacing w:line="264" w:lineRule="auto"/>
                  <w:contextualSpacing/>
                  <w:jc w:val="both"/>
                  <w:rPr>
                    <w:rFonts w:asciiTheme="majorHAnsi" w:hAnsiTheme="majorHAnsi"/>
                    <w:b/>
                    <w:sz w:val="24"/>
                    <w:szCs w:val="24"/>
                  </w:rPr>
                </w:pPr>
                <w:r w:rsidRPr="006A68A4">
                  <w:rPr>
                    <w:rFonts w:asciiTheme="majorHAnsi" w:hAnsiTheme="majorHAnsi"/>
                    <w:b/>
                    <w:sz w:val="24"/>
                    <w:szCs w:val="24"/>
                  </w:rPr>
                  <w:t>Vulnerable Groups</w:t>
                </w:r>
              </w:p>
            </w:tc>
            <w:tc>
              <w:tcPr>
                <w:tcW w:w="1890" w:type="dxa"/>
              </w:tcPr>
              <w:p w:rsidR="00DB2913" w:rsidRDefault="00DB2913" w:rsidP="00DB2913">
                <w:pPr>
                  <w:spacing w:line="264" w:lineRule="auto"/>
                  <w:contextualSpacing/>
                  <w:jc w:val="both"/>
                  <w:rPr>
                    <w:rFonts w:asciiTheme="majorHAnsi" w:hAnsiTheme="majorHAnsi"/>
                    <w:b/>
                    <w:sz w:val="24"/>
                    <w:szCs w:val="24"/>
                  </w:rPr>
                </w:pPr>
                <w:r w:rsidRPr="006A68A4">
                  <w:rPr>
                    <w:rFonts w:asciiTheme="majorHAnsi" w:hAnsiTheme="majorHAnsi"/>
                    <w:b/>
                    <w:sz w:val="24"/>
                    <w:szCs w:val="24"/>
                  </w:rPr>
                  <w:t xml:space="preserve">Page 2 </w:t>
                </w:r>
              </w:p>
            </w:tc>
          </w:tr>
          <w:tr w:rsidR="00DB2913" w:rsidTr="00DB2913">
            <w:trPr>
              <w:trHeight w:val="188"/>
            </w:trPr>
            <w:tc>
              <w:tcPr>
                <w:tcW w:w="7668" w:type="dxa"/>
              </w:tcPr>
              <w:p w:rsidR="00DB2913" w:rsidRDefault="00DB2913" w:rsidP="006A68A4">
                <w:pPr>
                  <w:spacing w:line="264" w:lineRule="auto"/>
                  <w:contextualSpacing/>
                  <w:jc w:val="both"/>
                  <w:rPr>
                    <w:rFonts w:asciiTheme="majorHAnsi" w:hAnsiTheme="majorHAnsi"/>
                    <w:b/>
                    <w:sz w:val="24"/>
                    <w:szCs w:val="24"/>
                  </w:rPr>
                </w:pPr>
                <w:r w:rsidRPr="006A68A4">
                  <w:rPr>
                    <w:rFonts w:asciiTheme="majorHAnsi" w:hAnsiTheme="majorHAnsi"/>
                    <w:b/>
                    <w:sz w:val="24"/>
                    <w:szCs w:val="24"/>
                  </w:rPr>
                  <w:t>Institutional Mechanisms</w:t>
                </w:r>
              </w:p>
            </w:tc>
            <w:tc>
              <w:tcPr>
                <w:tcW w:w="1890" w:type="dxa"/>
              </w:tcPr>
              <w:p w:rsidR="00DB2913" w:rsidRDefault="00DB2913" w:rsidP="00DB2913">
                <w:pPr>
                  <w:spacing w:line="264" w:lineRule="auto"/>
                  <w:contextualSpacing/>
                  <w:jc w:val="both"/>
                  <w:rPr>
                    <w:rFonts w:asciiTheme="majorHAnsi" w:hAnsiTheme="majorHAnsi"/>
                    <w:b/>
                    <w:sz w:val="24"/>
                    <w:szCs w:val="24"/>
                  </w:rPr>
                </w:pPr>
                <w:r>
                  <w:rPr>
                    <w:rFonts w:asciiTheme="majorHAnsi" w:hAnsiTheme="majorHAnsi"/>
                    <w:b/>
                    <w:sz w:val="24"/>
                    <w:szCs w:val="24"/>
                  </w:rPr>
                  <w:t>Page 11</w:t>
                </w:r>
              </w:p>
            </w:tc>
          </w:tr>
          <w:tr w:rsidR="00DB2913" w:rsidTr="00DB2913">
            <w:trPr>
              <w:trHeight w:val="182"/>
            </w:trPr>
            <w:tc>
              <w:tcPr>
                <w:tcW w:w="7668" w:type="dxa"/>
              </w:tcPr>
              <w:p w:rsidR="00DB2913" w:rsidRPr="00DB2913" w:rsidRDefault="00DB2913" w:rsidP="006A68A4">
                <w:pPr>
                  <w:spacing w:line="264" w:lineRule="auto"/>
                  <w:contextualSpacing/>
                  <w:jc w:val="both"/>
                  <w:rPr>
                    <w:rFonts w:asciiTheme="majorHAnsi" w:hAnsiTheme="majorHAnsi"/>
                    <w:b/>
                    <w:sz w:val="24"/>
                    <w:szCs w:val="24"/>
                  </w:rPr>
                </w:pPr>
                <w:r w:rsidRPr="00DB2913">
                  <w:rPr>
                    <w:rFonts w:asciiTheme="majorHAnsi" w:hAnsiTheme="majorHAnsi"/>
                    <w:b/>
                    <w:sz w:val="24"/>
                    <w:szCs w:val="24"/>
                  </w:rPr>
                  <w:t xml:space="preserve">Community Processes and Convergence </w:t>
                </w:r>
              </w:p>
            </w:tc>
            <w:tc>
              <w:tcPr>
                <w:tcW w:w="1890" w:type="dxa"/>
              </w:tcPr>
              <w:p w:rsidR="00DB2913" w:rsidRDefault="00DB2913" w:rsidP="00DB2913">
                <w:pPr>
                  <w:spacing w:line="264" w:lineRule="auto"/>
                  <w:contextualSpacing/>
                  <w:jc w:val="both"/>
                  <w:rPr>
                    <w:rFonts w:asciiTheme="majorHAnsi" w:hAnsiTheme="majorHAnsi"/>
                    <w:b/>
                    <w:sz w:val="24"/>
                    <w:szCs w:val="24"/>
                  </w:rPr>
                </w:pPr>
                <w:r w:rsidRPr="006A68A4">
                  <w:rPr>
                    <w:rFonts w:asciiTheme="majorHAnsi" w:hAnsiTheme="majorHAnsi"/>
                    <w:b/>
                    <w:sz w:val="24"/>
                    <w:szCs w:val="24"/>
                  </w:rPr>
                  <w:t xml:space="preserve">Page </w:t>
                </w:r>
                <w:r>
                  <w:rPr>
                    <w:rFonts w:asciiTheme="majorHAnsi" w:hAnsiTheme="majorHAnsi"/>
                    <w:b/>
                    <w:sz w:val="24"/>
                    <w:szCs w:val="24"/>
                  </w:rPr>
                  <w:t>25</w:t>
                </w:r>
              </w:p>
            </w:tc>
          </w:tr>
          <w:tr w:rsidR="00DB2913" w:rsidTr="00DB2913">
            <w:trPr>
              <w:trHeight w:val="188"/>
            </w:trPr>
            <w:tc>
              <w:tcPr>
                <w:tcW w:w="7668" w:type="dxa"/>
              </w:tcPr>
              <w:p w:rsidR="00DB2913" w:rsidRPr="00DB2913" w:rsidRDefault="00DB2913" w:rsidP="00DB2913">
                <w:pPr>
                  <w:spacing w:line="264" w:lineRule="auto"/>
                  <w:contextualSpacing/>
                  <w:jc w:val="both"/>
                  <w:rPr>
                    <w:rFonts w:asciiTheme="majorHAnsi" w:hAnsiTheme="majorHAnsi"/>
                    <w:b/>
                    <w:sz w:val="24"/>
                    <w:szCs w:val="24"/>
                  </w:rPr>
                </w:pPr>
                <w:r w:rsidRPr="00DB2913">
                  <w:rPr>
                    <w:rFonts w:asciiTheme="majorHAnsi" w:hAnsiTheme="majorHAnsi"/>
                    <w:b/>
                    <w:sz w:val="24"/>
                    <w:szCs w:val="24"/>
                  </w:rPr>
                  <w:t>Urban Health Financing, Phasing and Governance</w:t>
                </w:r>
              </w:p>
            </w:tc>
            <w:tc>
              <w:tcPr>
                <w:tcW w:w="1890" w:type="dxa"/>
              </w:tcPr>
              <w:p w:rsidR="00DB2913" w:rsidRPr="006A68A4" w:rsidRDefault="00DB2913" w:rsidP="00DB2913">
                <w:pPr>
                  <w:spacing w:line="264" w:lineRule="auto"/>
                  <w:contextualSpacing/>
                  <w:jc w:val="both"/>
                  <w:rPr>
                    <w:rFonts w:asciiTheme="majorHAnsi" w:hAnsiTheme="majorHAnsi"/>
                    <w:b/>
                    <w:sz w:val="24"/>
                    <w:szCs w:val="24"/>
                  </w:rPr>
                </w:pPr>
                <w:r w:rsidRPr="006A68A4">
                  <w:rPr>
                    <w:rFonts w:asciiTheme="majorHAnsi" w:hAnsiTheme="majorHAnsi"/>
                    <w:b/>
                    <w:sz w:val="24"/>
                    <w:szCs w:val="24"/>
                  </w:rPr>
                  <w:t xml:space="preserve">Page </w:t>
                </w:r>
                <w:r>
                  <w:rPr>
                    <w:rFonts w:asciiTheme="majorHAnsi" w:hAnsiTheme="majorHAnsi"/>
                    <w:b/>
                    <w:sz w:val="24"/>
                    <w:szCs w:val="24"/>
                  </w:rPr>
                  <w:t>35</w:t>
                </w:r>
              </w:p>
              <w:p w:rsidR="00DB2913" w:rsidRDefault="00DB2913" w:rsidP="006A68A4">
                <w:pPr>
                  <w:spacing w:line="264" w:lineRule="auto"/>
                  <w:contextualSpacing/>
                  <w:jc w:val="both"/>
                  <w:rPr>
                    <w:rFonts w:asciiTheme="majorHAnsi" w:hAnsiTheme="majorHAnsi"/>
                    <w:b/>
                    <w:sz w:val="24"/>
                    <w:szCs w:val="24"/>
                  </w:rPr>
                </w:pPr>
              </w:p>
            </w:tc>
          </w:tr>
        </w:tbl>
        <w:p w:rsidR="00DB2913" w:rsidRPr="006A68A4" w:rsidRDefault="00DB2913"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DB2913" w:rsidP="006A68A4">
          <w:pPr>
            <w:spacing w:line="264" w:lineRule="auto"/>
            <w:contextualSpacing/>
            <w:jc w:val="both"/>
            <w:rPr>
              <w:rFonts w:asciiTheme="majorHAnsi" w:hAnsiTheme="majorHAnsi"/>
              <w:sz w:val="24"/>
              <w:szCs w:val="24"/>
            </w:rPr>
          </w:pPr>
          <w:r>
            <w:rPr>
              <w:rFonts w:asciiTheme="majorHAnsi" w:hAnsiTheme="majorHAnsi"/>
              <w:b/>
              <w:sz w:val="24"/>
              <w:szCs w:val="24"/>
            </w:rPr>
            <w:tab/>
          </w:r>
          <w:r>
            <w:rPr>
              <w:rFonts w:asciiTheme="majorHAnsi" w:hAnsiTheme="majorHAnsi"/>
              <w:b/>
              <w:sz w:val="24"/>
              <w:szCs w:val="24"/>
            </w:rPr>
            <w:tab/>
          </w:r>
          <w:r w:rsidR="006A68A4" w:rsidRPr="006A68A4">
            <w:rPr>
              <w:rFonts w:asciiTheme="majorHAnsi" w:hAnsiTheme="majorHAnsi"/>
              <w:sz w:val="24"/>
              <w:szCs w:val="24"/>
            </w:rPr>
            <w:br w:type="page"/>
          </w: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Default="006A68A4" w:rsidP="006A68A4">
          <w:pPr>
            <w:spacing w:line="264" w:lineRule="auto"/>
            <w:contextualSpacing/>
            <w:jc w:val="both"/>
            <w:rPr>
              <w:rFonts w:asciiTheme="majorHAnsi" w:hAnsiTheme="majorHAnsi"/>
              <w:b/>
              <w:sz w:val="24"/>
              <w:szCs w:val="24"/>
            </w:rPr>
          </w:pPr>
        </w:p>
        <w:p w:rsidR="006A68A4" w:rsidRDefault="006A68A4" w:rsidP="006A68A4">
          <w:pPr>
            <w:spacing w:line="264" w:lineRule="auto"/>
            <w:contextualSpacing/>
            <w:jc w:val="both"/>
            <w:rPr>
              <w:rFonts w:asciiTheme="majorHAnsi" w:hAnsiTheme="majorHAnsi"/>
              <w:b/>
              <w:sz w:val="24"/>
              <w:szCs w:val="24"/>
            </w:rPr>
          </w:pPr>
        </w:p>
        <w:p w:rsidR="006A68A4" w:rsidRDefault="006A68A4" w:rsidP="006A68A4">
          <w:pPr>
            <w:spacing w:line="264" w:lineRule="auto"/>
            <w:contextualSpacing/>
            <w:jc w:val="both"/>
            <w:rPr>
              <w:rFonts w:asciiTheme="majorHAnsi" w:hAnsiTheme="majorHAnsi"/>
              <w:b/>
              <w:sz w:val="24"/>
              <w:szCs w:val="24"/>
            </w:rPr>
          </w:pPr>
        </w:p>
        <w:p w:rsidR="006A68A4" w:rsidRDefault="006A68A4" w:rsidP="006A68A4">
          <w:pPr>
            <w:spacing w:line="264" w:lineRule="auto"/>
            <w:contextualSpacing/>
            <w:jc w:val="both"/>
            <w:rPr>
              <w:rFonts w:asciiTheme="majorHAnsi" w:hAnsiTheme="majorHAnsi"/>
              <w:b/>
              <w:sz w:val="36"/>
              <w:szCs w:val="36"/>
            </w:rPr>
          </w:pPr>
        </w:p>
        <w:p w:rsidR="006A68A4" w:rsidRPr="006A68A4" w:rsidRDefault="006A68A4" w:rsidP="006A68A4">
          <w:pPr>
            <w:spacing w:line="264" w:lineRule="auto"/>
            <w:contextualSpacing/>
            <w:jc w:val="both"/>
            <w:rPr>
              <w:rFonts w:asciiTheme="majorHAnsi" w:hAnsiTheme="majorHAnsi"/>
              <w:b/>
              <w:sz w:val="36"/>
              <w:szCs w:val="36"/>
            </w:rPr>
          </w:pPr>
          <w:r w:rsidRPr="006A68A4">
            <w:rPr>
              <w:rFonts w:asciiTheme="majorHAnsi" w:hAnsiTheme="majorHAnsi"/>
              <w:b/>
              <w:sz w:val="36"/>
              <w:szCs w:val="36"/>
            </w:rPr>
            <w:t xml:space="preserve">Working Group I: Vulnerable Groups </w:t>
          </w:r>
        </w:p>
        <w:p w:rsidR="006A68A4" w:rsidRPr="006A68A4" w:rsidRDefault="00D20074" w:rsidP="006A68A4">
          <w:pPr>
            <w:spacing w:line="264" w:lineRule="auto"/>
            <w:contextualSpacing/>
            <w:jc w:val="both"/>
            <w:rPr>
              <w:rFonts w:asciiTheme="majorHAnsi" w:hAnsiTheme="majorHAnsi"/>
              <w:b/>
              <w:sz w:val="24"/>
              <w:szCs w:val="24"/>
            </w:rPr>
          </w:pPr>
          <w:r w:rsidRPr="00D20074">
            <w:rPr>
              <w:rFonts w:asciiTheme="majorHAnsi" w:hAnsiTheme="majorHAnsi"/>
              <w:b/>
              <w:noProof/>
              <w:sz w:val="36"/>
              <w:szCs w:val="36"/>
            </w:rPr>
            <w:pict>
              <v:line id="Straight Connector 3" o:spid="_x0000_s1035" style="position:absolute;left:0;text-align:left;flip:y;z-index:251670528;visibility:visible;mso-height-relative:margin" from="-5.05pt,5.65pt" to="499.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" strokecolor="#4579b8 [3044]"/>
            </w:pict>
          </w:r>
        </w:p>
        <w:p w:rsidR="006A68A4" w:rsidRPr="006A68A4" w:rsidRDefault="00D20074" w:rsidP="006A68A4">
          <w:pPr>
            <w:spacing w:line="264" w:lineRule="auto"/>
            <w:contextualSpacing/>
            <w:jc w:val="both"/>
            <w:rPr>
              <w:rFonts w:asciiTheme="majorHAnsi" w:hAnsiTheme="majorHAnsi"/>
              <w:sz w:val="24"/>
              <w:szCs w:val="24"/>
            </w:rPr>
          </w:pPr>
        </w:p>
      </w:sdtContent>
    </w:sdt>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Default="006A68A4" w:rsidP="006A68A4">
      <w:pPr>
        <w:spacing w:line="264" w:lineRule="auto"/>
        <w:contextualSpacing/>
        <w:jc w:val="both"/>
        <w:rPr>
          <w:rFonts w:asciiTheme="majorHAnsi" w:hAnsiTheme="majorHAnsi"/>
          <w:b/>
          <w:sz w:val="24"/>
          <w:szCs w:val="24"/>
        </w:rPr>
      </w:pPr>
    </w:p>
    <w:p w:rsidR="006A68A4" w:rsidRDefault="006A68A4" w:rsidP="006A68A4">
      <w:pPr>
        <w:spacing w:line="264" w:lineRule="auto"/>
        <w:contextualSpacing/>
        <w:jc w:val="both"/>
        <w:rPr>
          <w:rFonts w:asciiTheme="majorHAnsi" w:hAnsiTheme="majorHAnsi"/>
          <w:b/>
          <w:sz w:val="24"/>
          <w:szCs w:val="24"/>
        </w:rPr>
      </w:pPr>
    </w:p>
    <w:p w:rsidR="006A68A4" w:rsidRDefault="006A68A4" w:rsidP="006A68A4">
      <w:pPr>
        <w:spacing w:line="264" w:lineRule="auto"/>
        <w:contextualSpacing/>
        <w:jc w:val="both"/>
        <w:rPr>
          <w:rFonts w:asciiTheme="majorHAnsi" w:hAnsiTheme="majorHAnsi"/>
          <w:b/>
          <w:sz w:val="24"/>
          <w:szCs w:val="24"/>
        </w:rPr>
      </w:pPr>
    </w:p>
    <w:p w:rsid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0C4AB7">
      <w:pPr>
        <w:spacing w:line="264" w:lineRule="auto"/>
        <w:contextualSpacing/>
        <w:jc w:val="center"/>
        <w:rPr>
          <w:rFonts w:asciiTheme="majorHAnsi" w:hAnsiTheme="majorHAnsi"/>
          <w:b/>
          <w:sz w:val="24"/>
          <w:szCs w:val="24"/>
          <w:u w:val="single"/>
        </w:rPr>
      </w:pPr>
      <w:r w:rsidRPr="006A68A4">
        <w:rPr>
          <w:rFonts w:asciiTheme="majorHAnsi" w:hAnsiTheme="majorHAnsi"/>
          <w:b/>
          <w:sz w:val="24"/>
          <w:szCs w:val="24"/>
          <w:u w:val="single"/>
        </w:rPr>
        <w:lastRenderedPageBreak/>
        <w:t>Vulnerable Groups: Review of Published Articles</w:t>
      </w:r>
    </w:p>
    <w:p w:rsidR="006A68A4" w:rsidRPr="006A68A4" w:rsidRDefault="006A68A4" w:rsidP="006A68A4">
      <w:pPr>
        <w:spacing w:line="264" w:lineRule="auto"/>
        <w:contextualSpacing/>
        <w:jc w:val="both"/>
        <w:rPr>
          <w:rFonts w:asciiTheme="majorHAnsi" w:hAnsiTheme="majorHAnsi"/>
          <w:b/>
          <w:sz w:val="24"/>
          <w:szCs w:val="24"/>
          <w:u w:val="single"/>
        </w:rPr>
      </w:pPr>
    </w:p>
    <w:p w:rsidR="006A68A4" w:rsidRPr="006A68A4" w:rsidRDefault="006A68A4" w:rsidP="006A68A4">
      <w:pPr>
        <w:spacing w:line="264" w:lineRule="auto"/>
        <w:contextualSpacing/>
        <w:jc w:val="both"/>
        <w:rPr>
          <w:rFonts w:asciiTheme="majorHAnsi" w:hAnsiTheme="majorHAnsi" w:cs="Times New Roman"/>
          <w:b/>
          <w:bCs/>
          <w:iCs/>
          <w:sz w:val="24"/>
          <w:szCs w:val="24"/>
        </w:rPr>
      </w:pPr>
      <w:r w:rsidRPr="006A68A4">
        <w:rPr>
          <w:rFonts w:asciiTheme="majorHAnsi" w:hAnsiTheme="majorHAnsi" w:cs="Times New Roman"/>
          <w:b/>
          <w:bCs/>
          <w:iCs/>
          <w:sz w:val="24"/>
          <w:szCs w:val="24"/>
        </w:rPr>
        <w:t>Conceptualizing ‘Vulnerability’</w:t>
      </w:r>
    </w:p>
    <w:p w:rsidR="000C4AB7" w:rsidRPr="000C4AB7" w:rsidRDefault="006A68A4" w:rsidP="000C4AB7">
      <w:pPr>
        <w:spacing w:line="264" w:lineRule="auto"/>
        <w:contextualSpacing/>
        <w:jc w:val="both"/>
        <w:rPr>
          <w:rFonts w:asciiTheme="majorHAnsi" w:hAnsiTheme="majorHAnsi" w:cs="Times New Roman"/>
          <w:sz w:val="24"/>
          <w:szCs w:val="24"/>
        </w:rPr>
      </w:pPr>
      <w:r w:rsidRPr="006A68A4">
        <w:rPr>
          <w:rFonts w:asciiTheme="majorHAnsi" w:hAnsiTheme="majorHAnsi" w:cs="Times New Roman"/>
          <w:sz w:val="24"/>
          <w:szCs w:val="24"/>
        </w:rPr>
        <w:t xml:space="preserve">With regards to the socially and economically disadvantaged group in the urban India, the Hasim Committee Report (2012) states that the ‘vulnerability is a critical aspect of poverty’. Understanding the fact that ‘vulnerability’ is multi-dimensional in nature, that situated the poor subjects in a susceptible situation, exposed to risk, </w:t>
      </w:r>
      <w:r w:rsidR="00055940" w:rsidRPr="006A68A4">
        <w:rPr>
          <w:rFonts w:asciiTheme="majorHAnsi" w:hAnsiTheme="majorHAnsi" w:cs="Times New Roman"/>
          <w:sz w:val="24"/>
          <w:szCs w:val="24"/>
        </w:rPr>
        <w:t>defenseless</w:t>
      </w:r>
      <w:r w:rsidRPr="006A68A4">
        <w:rPr>
          <w:rFonts w:asciiTheme="majorHAnsi" w:hAnsiTheme="majorHAnsi" w:cs="Times New Roman"/>
          <w:sz w:val="24"/>
          <w:szCs w:val="24"/>
        </w:rPr>
        <w:t xml:space="preserve"> –the Report articulates 3 areas of vulnerabilities that the urban poor are subjected to (see also, N C Saxena Report, 2012). </w:t>
      </w:r>
      <w:r w:rsidR="000C4AB7">
        <w:rPr>
          <w:rFonts w:asciiTheme="majorHAnsi" w:hAnsiTheme="majorHAnsi" w:cs="Times New Roman"/>
          <w:sz w:val="24"/>
          <w:szCs w:val="24"/>
        </w:rPr>
        <w:t xml:space="preserve">These areas are as follows: </w:t>
      </w:r>
    </w:p>
    <w:p w:rsidR="006A68A4" w:rsidRPr="006A68A4" w:rsidRDefault="006A68A4" w:rsidP="006A68A4">
      <w:pPr>
        <w:pStyle w:val="ListParagraph"/>
        <w:numPr>
          <w:ilvl w:val="0"/>
          <w:numId w:val="2"/>
        </w:numPr>
        <w:spacing w:line="264" w:lineRule="auto"/>
        <w:jc w:val="both"/>
        <w:rPr>
          <w:rFonts w:asciiTheme="majorHAnsi" w:hAnsiTheme="majorHAnsi" w:cs="Times New Roman"/>
          <w:sz w:val="24"/>
          <w:szCs w:val="24"/>
        </w:rPr>
      </w:pPr>
      <w:r w:rsidRPr="006A68A4">
        <w:rPr>
          <w:rFonts w:asciiTheme="majorHAnsi" w:hAnsiTheme="majorHAnsi" w:cs="Times New Roman"/>
          <w:sz w:val="24"/>
          <w:szCs w:val="24"/>
          <w:u w:val="single"/>
        </w:rPr>
        <w:t>Residential Vulnerability</w:t>
      </w:r>
      <w:r w:rsidRPr="006A68A4">
        <w:rPr>
          <w:rFonts w:asciiTheme="majorHAnsi" w:hAnsiTheme="majorHAnsi" w:cs="Times New Roman"/>
          <w:sz w:val="24"/>
          <w:szCs w:val="24"/>
        </w:rPr>
        <w:t xml:space="preserve">: is apprehended through the perceptible and noticeable people in the urban locale –those poor people who dwells in an excessive poor condition, under the open sky, overcoming the excessive winter cold of Northern India, unbeatable summer heat and inexorable heavy monsoon seasons. </w:t>
      </w:r>
    </w:p>
    <w:p w:rsidR="006A68A4" w:rsidRPr="006A68A4" w:rsidRDefault="006A68A4" w:rsidP="006A68A4">
      <w:pPr>
        <w:pStyle w:val="ListParagraph"/>
        <w:numPr>
          <w:ilvl w:val="0"/>
          <w:numId w:val="2"/>
        </w:numPr>
        <w:spacing w:line="264" w:lineRule="auto"/>
        <w:jc w:val="both"/>
        <w:rPr>
          <w:rFonts w:asciiTheme="majorHAnsi" w:hAnsiTheme="majorHAnsi" w:cs="Times New Roman"/>
          <w:sz w:val="24"/>
          <w:szCs w:val="24"/>
        </w:rPr>
      </w:pPr>
      <w:r w:rsidRPr="006A68A4">
        <w:rPr>
          <w:rFonts w:asciiTheme="majorHAnsi" w:hAnsiTheme="majorHAnsi" w:cs="Times New Roman"/>
          <w:sz w:val="24"/>
          <w:szCs w:val="24"/>
          <w:u w:val="single"/>
        </w:rPr>
        <w:t>Occupational Vulnerability</w:t>
      </w:r>
      <w:r w:rsidRPr="006A68A4">
        <w:rPr>
          <w:rFonts w:asciiTheme="majorHAnsi" w:hAnsiTheme="majorHAnsi" w:cs="Times New Roman"/>
          <w:sz w:val="24"/>
          <w:szCs w:val="24"/>
        </w:rPr>
        <w:t xml:space="preserve">: charts the large population of the informal labour force in the city; those people [men, women and children] who are trapped in the low-income jobs, especially in the informal sector. This is completely a heterogeneous sector, comprising mainly of the daily wage workers, construction labour, petty traders, hawkers, street children, sex workers, </w:t>
      </w:r>
      <w:r w:rsidR="00055940" w:rsidRPr="006A68A4">
        <w:rPr>
          <w:rFonts w:asciiTheme="majorHAnsi" w:hAnsiTheme="majorHAnsi" w:cs="Times New Roman"/>
          <w:sz w:val="24"/>
          <w:szCs w:val="24"/>
        </w:rPr>
        <w:t>rickshaw</w:t>
      </w:r>
      <w:r w:rsidRPr="006A68A4">
        <w:rPr>
          <w:rFonts w:asciiTheme="majorHAnsi" w:hAnsiTheme="majorHAnsi" w:cs="Times New Roman"/>
          <w:sz w:val="24"/>
          <w:szCs w:val="24"/>
        </w:rPr>
        <w:t xml:space="preserve"> pullers, domestic workers, and so on. </w:t>
      </w:r>
    </w:p>
    <w:p w:rsidR="006A68A4" w:rsidRPr="006A68A4" w:rsidRDefault="006A68A4" w:rsidP="006A68A4">
      <w:pPr>
        <w:pStyle w:val="ListParagraph"/>
        <w:numPr>
          <w:ilvl w:val="0"/>
          <w:numId w:val="2"/>
        </w:numPr>
        <w:spacing w:line="264" w:lineRule="auto"/>
        <w:jc w:val="both"/>
        <w:rPr>
          <w:rFonts w:asciiTheme="majorHAnsi" w:hAnsiTheme="majorHAnsi" w:cs="Times New Roman"/>
          <w:sz w:val="24"/>
          <w:szCs w:val="24"/>
        </w:rPr>
      </w:pPr>
      <w:r w:rsidRPr="006A68A4">
        <w:rPr>
          <w:rFonts w:asciiTheme="majorHAnsi" w:hAnsiTheme="majorHAnsi" w:cs="Times New Roman"/>
          <w:sz w:val="24"/>
          <w:szCs w:val="24"/>
          <w:u w:val="single"/>
        </w:rPr>
        <w:t>Social vulnerability</w:t>
      </w:r>
      <w:r w:rsidRPr="006A68A4">
        <w:rPr>
          <w:rFonts w:asciiTheme="majorHAnsi" w:hAnsiTheme="majorHAnsi" w:cs="Times New Roman"/>
          <w:sz w:val="24"/>
          <w:szCs w:val="24"/>
        </w:rPr>
        <w:t xml:space="preserve">: typifies </w:t>
      </w:r>
      <w:r w:rsidR="00055940" w:rsidRPr="006A68A4">
        <w:rPr>
          <w:rFonts w:asciiTheme="majorHAnsi" w:hAnsiTheme="majorHAnsi" w:cs="Times New Roman"/>
          <w:sz w:val="24"/>
          <w:szCs w:val="24"/>
        </w:rPr>
        <w:t>those groups, who routinely face</w:t>
      </w:r>
      <w:r w:rsidRPr="006A68A4">
        <w:rPr>
          <w:rFonts w:asciiTheme="majorHAnsi" w:hAnsiTheme="majorHAnsi" w:cs="Times New Roman"/>
          <w:sz w:val="24"/>
          <w:szCs w:val="24"/>
        </w:rPr>
        <w:t xml:space="preserve"> severe ‘social barriers’ to daily needs and livelihood. </w:t>
      </w:r>
    </w:p>
    <w:p w:rsidR="006A68A4" w:rsidRPr="006A68A4" w:rsidRDefault="006A68A4" w:rsidP="006A68A4">
      <w:pPr>
        <w:spacing w:line="264" w:lineRule="auto"/>
        <w:contextualSpacing/>
        <w:jc w:val="both"/>
        <w:rPr>
          <w:rFonts w:asciiTheme="majorHAnsi" w:hAnsiTheme="majorHAnsi" w:cs="Times New Roman"/>
          <w:sz w:val="24"/>
          <w:szCs w:val="24"/>
        </w:rPr>
      </w:pPr>
    </w:p>
    <w:p w:rsidR="006A68A4" w:rsidRPr="006A68A4" w:rsidRDefault="006A68A4" w:rsidP="006A68A4">
      <w:pPr>
        <w:spacing w:line="264" w:lineRule="auto"/>
        <w:contextualSpacing/>
        <w:jc w:val="both"/>
        <w:rPr>
          <w:rFonts w:asciiTheme="majorHAnsi" w:hAnsiTheme="majorHAnsi" w:cs="Times New Roman"/>
          <w:sz w:val="24"/>
          <w:szCs w:val="24"/>
        </w:rPr>
      </w:pPr>
      <w:r w:rsidRPr="006A68A4">
        <w:rPr>
          <w:rFonts w:asciiTheme="majorHAnsi" w:hAnsiTheme="majorHAnsi" w:cs="Times New Roman"/>
          <w:sz w:val="24"/>
          <w:szCs w:val="24"/>
        </w:rPr>
        <w:t>Further to this classification, the Public Health Resource Network (2010) contends another classification of vulnerability, as:</w:t>
      </w:r>
    </w:p>
    <w:p w:rsidR="006A68A4" w:rsidRPr="006A68A4" w:rsidRDefault="006A68A4" w:rsidP="006A68A4">
      <w:pPr>
        <w:spacing w:line="264" w:lineRule="auto"/>
        <w:contextualSpacing/>
        <w:jc w:val="both"/>
        <w:rPr>
          <w:rFonts w:asciiTheme="majorHAnsi" w:hAnsiTheme="majorHAnsi" w:cs="Times New Roman"/>
          <w:sz w:val="24"/>
          <w:szCs w:val="24"/>
        </w:rPr>
      </w:pPr>
    </w:p>
    <w:p w:rsidR="006A68A4" w:rsidRPr="006A68A4" w:rsidRDefault="006A68A4" w:rsidP="006A68A4">
      <w:pPr>
        <w:spacing w:line="264" w:lineRule="auto"/>
        <w:contextualSpacing/>
        <w:jc w:val="both"/>
        <w:rPr>
          <w:rFonts w:asciiTheme="majorHAnsi" w:hAnsiTheme="majorHAnsi" w:cs="Times New Roman"/>
          <w:sz w:val="24"/>
          <w:szCs w:val="24"/>
        </w:rPr>
      </w:pPr>
      <w:r w:rsidRPr="006A68A4">
        <w:rPr>
          <w:rFonts w:asciiTheme="majorHAnsi" w:hAnsiTheme="majorHAnsi" w:cs="Times New Roman"/>
          <w:sz w:val="24"/>
          <w:szCs w:val="24"/>
          <w:u w:val="single"/>
        </w:rPr>
        <w:t>Personal Vulnerability</w:t>
      </w:r>
      <w:r w:rsidRPr="006A68A4">
        <w:rPr>
          <w:rFonts w:asciiTheme="majorHAnsi" w:hAnsiTheme="majorHAnsi" w:cs="Times New Roman"/>
          <w:sz w:val="24"/>
          <w:szCs w:val="24"/>
        </w:rPr>
        <w:t xml:space="preserve">: those people who are prone to violence, threat and intimidation. This group comprises especially of women, children, the elderly people, disabled and destitute; those of who are belonging to lower caste, class and minority groups, and lack the facility to access their respective health care needs and justice. </w:t>
      </w:r>
    </w:p>
    <w:p w:rsidR="006A68A4" w:rsidRPr="006A68A4" w:rsidRDefault="006A68A4" w:rsidP="006A68A4">
      <w:pPr>
        <w:spacing w:line="264" w:lineRule="auto"/>
        <w:contextualSpacing/>
        <w:jc w:val="both"/>
        <w:rPr>
          <w:rFonts w:asciiTheme="majorHAnsi" w:hAnsiTheme="majorHAnsi" w:cs="Times New Roman"/>
          <w:sz w:val="24"/>
          <w:szCs w:val="24"/>
        </w:rPr>
      </w:pPr>
    </w:p>
    <w:p w:rsidR="006A68A4" w:rsidRPr="006A68A4" w:rsidRDefault="006A68A4" w:rsidP="006A68A4">
      <w:pPr>
        <w:spacing w:line="264" w:lineRule="auto"/>
        <w:contextualSpacing/>
        <w:jc w:val="both"/>
        <w:rPr>
          <w:rFonts w:asciiTheme="majorHAnsi" w:hAnsiTheme="majorHAnsi" w:cs="Times New Roman"/>
          <w:b/>
          <w:bCs/>
          <w:iCs/>
          <w:sz w:val="24"/>
          <w:szCs w:val="24"/>
        </w:rPr>
      </w:pPr>
      <w:r w:rsidRPr="006A68A4">
        <w:rPr>
          <w:rFonts w:asciiTheme="majorHAnsi" w:hAnsiTheme="majorHAnsi" w:cs="Times New Roman"/>
          <w:b/>
          <w:bCs/>
          <w:iCs/>
          <w:sz w:val="24"/>
          <w:szCs w:val="24"/>
        </w:rPr>
        <w:t xml:space="preserve">Economically Disadvantaged Group and Their Health Challenges </w:t>
      </w:r>
    </w:p>
    <w:p w:rsidR="006A68A4" w:rsidRPr="006A68A4" w:rsidRDefault="006A68A4" w:rsidP="006A68A4">
      <w:pPr>
        <w:spacing w:line="264" w:lineRule="auto"/>
        <w:contextualSpacing/>
        <w:jc w:val="both"/>
        <w:rPr>
          <w:rFonts w:asciiTheme="majorHAnsi" w:hAnsiTheme="majorHAnsi" w:cs="Times New Roman"/>
          <w:b/>
          <w:bCs/>
          <w:iCs/>
          <w:sz w:val="24"/>
          <w:szCs w:val="24"/>
        </w:rPr>
      </w:pPr>
    </w:p>
    <w:p w:rsidR="006A68A4" w:rsidRPr="006A68A4" w:rsidRDefault="006A68A4" w:rsidP="006A68A4">
      <w:pPr>
        <w:spacing w:line="264" w:lineRule="auto"/>
        <w:contextualSpacing/>
        <w:jc w:val="both"/>
        <w:rPr>
          <w:rFonts w:asciiTheme="majorHAnsi" w:hAnsiTheme="majorHAnsi" w:cs="Times New Roman"/>
          <w:sz w:val="24"/>
          <w:szCs w:val="24"/>
        </w:rPr>
      </w:pPr>
      <w:r w:rsidRPr="006A68A4">
        <w:rPr>
          <w:rFonts w:asciiTheme="majorHAnsi" w:hAnsiTheme="majorHAnsi" w:cs="Times New Roman"/>
          <w:sz w:val="24"/>
          <w:szCs w:val="24"/>
        </w:rPr>
        <w:t>The PHRN (2010) further outlined the various vulnerable groups in the urban cities and towns. These committee reports reiterate the fact that, there could be further vulnerable population beyond this classification, yet to name a few with the research they have undertaken, are as follows:</w:t>
      </w:r>
    </w:p>
    <w:p w:rsidR="006A68A4" w:rsidRPr="006A68A4" w:rsidRDefault="006A68A4" w:rsidP="006A68A4">
      <w:pPr>
        <w:pStyle w:val="ListParagraph"/>
        <w:numPr>
          <w:ilvl w:val="0"/>
          <w:numId w:val="3"/>
        </w:numPr>
        <w:spacing w:line="264" w:lineRule="auto"/>
        <w:jc w:val="both"/>
        <w:rPr>
          <w:rFonts w:asciiTheme="majorHAnsi" w:hAnsiTheme="majorHAnsi"/>
          <w:sz w:val="24"/>
          <w:szCs w:val="24"/>
        </w:rPr>
      </w:pPr>
      <w:r w:rsidRPr="006A68A4">
        <w:rPr>
          <w:rFonts w:asciiTheme="majorHAnsi" w:hAnsiTheme="majorHAnsi" w:cs="Times New Roman"/>
          <w:sz w:val="24"/>
          <w:szCs w:val="24"/>
          <w:u w:val="single"/>
        </w:rPr>
        <w:t>Homeless / Pavement dwellers</w:t>
      </w:r>
      <w:r w:rsidRPr="006A68A4">
        <w:rPr>
          <w:rFonts w:asciiTheme="majorHAnsi" w:hAnsiTheme="majorHAnsi" w:cs="Times New Roman"/>
          <w:sz w:val="24"/>
          <w:szCs w:val="24"/>
        </w:rPr>
        <w:t xml:space="preserve">: People who resides on the pavement or sidewalks of the city –those lands to which they have squatted on. These people are vulnerable to physical abuse from the local people in the city as accusing of theft, burglary, and also, they are under constant threat and abuse from the policemen. They are further </w:t>
      </w:r>
      <w:r w:rsidRPr="006A68A4">
        <w:rPr>
          <w:rFonts w:asciiTheme="majorHAnsi" w:hAnsiTheme="majorHAnsi" w:cs="Times New Roman"/>
          <w:sz w:val="24"/>
          <w:szCs w:val="24"/>
        </w:rPr>
        <w:lastRenderedPageBreak/>
        <w:t xml:space="preserve">denied of issuing rational cards, and are unable to claim any policies of the government. </w:t>
      </w:r>
      <w:r w:rsidRPr="006A68A4">
        <w:rPr>
          <w:rFonts w:asciiTheme="majorHAnsi" w:hAnsiTheme="majorHAnsi"/>
          <w:sz w:val="24"/>
          <w:szCs w:val="24"/>
        </w:rPr>
        <w:t>Similar to the situation of the beggars, the homeless people face such problems of health and living conditions. Because of the lack of housing and their state of destitution, they live in roadside pavements, on the streets, drainage pipes and other such open spaces –leading to various poor health conditions. Lack of food or even sometimes stained food further leads to health diseases that are caused through food poisoning, germ contamination in one hand, and the very low nutritional level in food. The Centre of Equity Studies in India has researched extensively on homeless population and beggars, as accounting to the fact that their staple and everyday food is essentially boiled rice and potatoes.</w:t>
      </w:r>
    </w:p>
    <w:p w:rsidR="006A68A4" w:rsidRPr="006A68A4" w:rsidRDefault="006A68A4" w:rsidP="006A68A4">
      <w:pPr>
        <w:pStyle w:val="ListParagraph"/>
        <w:spacing w:line="264" w:lineRule="auto"/>
        <w:jc w:val="both"/>
        <w:rPr>
          <w:rFonts w:asciiTheme="majorHAnsi" w:hAnsiTheme="majorHAnsi"/>
          <w:sz w:val="24"/>
          <w:szCs w:val="24"/>
        </w:rPr>
      </w:pPr>
    </w:p>
    <w:p w:rsidR="006A68A4" w:rsidRPr="006A68A4" w:rsidRDefault="006A68A4" w:rsidP="006A68A4">
      <w:pPr>
        <w:pStyle w:val="ListParagraph"/>
        <w:numPr>
          <w:ilvl w:val="0"/>
          <w:numId w:val="3"/>
        </w:numPr>
        <w:spacing w:line="264" w:lineRule="auto"/>
        <w:jc w:val="both"/>
        <w:rPr>
          <w:rFonts w:asciiTheme="majorHAnsi" w:hAnsiTheme="majorHAnsi"/>
          <w:sz w:val="24"/>
          <w:szCs w:val="24"/>
        </w:rPr>
      </w:pPr>
      <w:r w:rsidRPr="006A68A4">
        <w:rPr>
          <w:rFonts w:asciiTheme="majorHAnsi" w:hAnsiTheme="majorHAnsi" w:cs="Times New Roman"/>
          <w:sz w:val="24"/>
          <w:szCs w:val="24"/>
          <w:u w:val="single"/>
        </w:rPr>
        <w:t>Beggars:</w:t>
      </w:r>
      <w:r w:rsidRPr="006A68A4">
        <w:rPr>
          <w:rFonts w:asciiTheme="majorHAnsi" w:hAnsiTheme="majorHAnsi" w:cs="Times New Roman"/>
          <w:sz w:val="24"/>
          <w:szCs w:val="24"/>
        </w:rPr>
        <w:t xml:space="preserve"> They constitute as one of the most vulnerable population in an urban context. They are debarred from health care facilities and the claim to housing, because of the state of their social and economic destitution. Further, they lack clothing, water, sanitation and nutrition which automatically lead to various diseases. </w:t>
      </w:r>
      <w:r w:rsidRPr="006A68A4">
        <w:rPr>
          <w:rFonts w:asciiTheme="majorHAnsi" w:hAnsiTheme="majorHAnsi"/>
          <w:sz w:val="24"/>
          <w:szCs w:val="24"/>
        </w:rPr>
        <w:t>The health challenges of the beggars are directly linked to their social conditions of the lack of proper housing, clothing, water sanitation, food –often living in a condition of dismal poverty and wretched condition that leads to various diseases. These diseases are often contaminated through food and water, and the environmental condition of extreme heat and cold leads to poor health and even death. Also, their very low socio-economic condition does not allow them to seek any medical treatment (even in the government hospitals) and other legal rights.</w:t>
      </w:r>
    </w:p>
    <w:p w:rsidR="006A68A4" w:rsidRPr="006A68A4" w:rsidRDefault="006A68A4" w:rsidP="006A68A4">
      <w:pPr>
        <w:pStyle w:val="ListParagraph"/>
        <w:spacing w:line="264" w:lineRule="auto"/>
        <w:jc w:val="both"/>
        <w:rPr>
          <w:rFonts w:asciiTheme="majorHAnsi" w:hAnsiTheme="majorHAnsi"/>
          <w:sz w:val="24"/>
          <w:szCs w:val="24"/>
        </w:rPr>
      </w:pPr>
    </w:p>
    <w:p w:rsidR="006A68A4" w:rsidRPr="006A68A4" w:rsidRDefault="006A68A4" w:rsidP="006A68A4">
      <w:pPr>
        <w:pStyle w:val="ListParagraph"/>
        <w:numPr>
          <w:ilvl w:val="0"/>
          <w:numId w:val="3"/>
        </w:numPr>
        <w:spacing w:line="264" w:lineRule="auto"/>
        <w:jc w:val="both"/>
        <w:rPr>
          <w:rFonts w:asciiTheme="majorHAnsi" w:hAnsiTheme="majorHAnsi"/>
          <w:sz w:val="24"/>
          <w:szCs w:val="24"/>
        </w:rPr>
      </w:pPr>
      <w:r w:rsidRPr="006A68A4">
        <w:rPr>
          <w:rFonts w:asciiTheme="majorHAnsi" w:hAnsiTheme="majorHAnsi" w:cs="Times New Roman"/>
          <w:sz w:val="24"/>
          <w:szCs w:val="24"/>
          <w:u w:val="single"/>
        </w:rPr>
        <w:t>Street children</w:t>
      </w:r>
      <w:r w:rsidRPr="006A68A4">
        <w:rPr>
          <w:rFonts w:asciiTheme="majorHAnsi" w:hAnsiTheme="majorHAnsi" w:cs="Times New Roman"/>
          <w:sz w:val="24"/>
          <w:szCs w:val="24"/>
        </w:rPr>
        <w:t xml:space="preserve">: They are an important category of the vulnerable population, significantly related to the children of the migrant workers in large cities. The studies highlights the emotional, mental and social instability of these population due to the lack of proper infrastructural, social, health and economic amenities, thus further leading to a condition of severe malnourishment and childhood diseases in one hand, and the act of juvenile delinquents on the other. </w:t>
      </w:r>
      <w:r w:rsidRPr="006A68A4">
        <w:rPr>
          <w:rFonts w:asciiTheme="majorHAnsi" w:hAnsiTheme="majorHAnsi"/>
          <w:sz w:val="24"/>
          <w:szCs w:val="24"/>
        </w:rPr>
        <w:t xml:space="preserve">With regards to the health burdens of the street children, they suffer from physical and psychological vulnerability that may to lead to serious health illness like pneumonia, dysentery, cholera in one hand, and mental challenges like depression and others, that may lead to substance abuse and similar such acts. Also, the young adolescent children may engage in unprotected sex and become vulnerable to various sexually transmitted diseases. Their depression in life may lead to engage in various antisocial activities, like affiliating to gangster groups, and consumption of alcohol, drugs and others. </w:t>
      </w:r>
    </w:p>
    <w:p w:rsidR="006A68A4" w:rsidRPr="006A68A4" w:rsidRDefault="006A68A4" w:rsidP="006A68A4">
      <w:pPr>
        <w:pStyle w:val="ListParagraph"/>
        <w:spacing w:line="264" w:lineRule="auto"/>
        <w:rPr>
          <w:rFonts w:asciiTheme="majorHAnsi" w:hAnsiTheme="majorHAnsi"/>
          <w:sz w:val="24"/>
          <w:szCs w:val="24"/>
        </w:rPr>
      </w:pPr>
    </w:p>
    <w:p w:rsidR="006A68A4" w:rsidRPr="006A68A4" w:rsidRDefault="006A68A4" w:rsidP="006A68A4">
      <w:pPr>
        <w:pStyle w:val="ListParagraph"/>
        <w:numPr>
          <w:ilvl w:val="0"/>
          <w:numId w:val="3"/>
        </w:numPr>
        <w:spacing w:line="264" w:lineRule="auto"/>
        <w:jc w:val="both"/>
        <w:rPr>
          <w:rFonts w:asciiTheme="majorHAnsi" w:hAnsiTheme="majorHAnsi"/>
          <w:sz w:val="24"/>
          <w:szCs w:val="24"/>
        </w:rPr>
      </w:pPr>
      <w:r w:rsidRPr="006A68A4">
        <w:rPr>
          <w:rFonts w:asciiTheme="majorHAnsi" w:hAnsiTheme="majorHAnsi" w:cs="Times New Roman"/>
          <w:sz w:val="24"/>
          <w:szCs w:val="24"/>
          <w:u w:val="single"/>
        </w:rPr>
        <w:t>Women as</w:t>
      </w:r>
      <w:r w:rsidR="00D50622">
        <w:rPr>
          <w:rFonts w:asciiTheme="majorHAnsi" w:hAnsiTheme="majorHAnsi" w:cs="Times New Roman"/>
          <w:sz w:val="24"/>
          <w:szCs w:val="24"/>
          <w:u w:val="single"/>
        </w:rPr>
        <w:t xml:space="preserve"> </w:t>
      </w:r>
      <w:r w:rsidRPr="006A68A4">
        <w:rPr>
          <w:rFonts w:asciiTheme="majorHAnsi" w:hAnsiTheme="majorHAnsi" w:cs="Times New Roman"/>
          <w:sz w:val="24"/>
          <w:szCs w:val="24"/>
          <w:u w:val="single"/>
        </w:rPr>
        <w:t>commercial sex workers</w:t>
      </w:r>
      <w:r w:rsidRPr="006A68A4">
        <w:rPr>
          <w:rFonts w:asciiTheme="majorHAnsi" w:hAnsiTheme="majorHAnsi" w:cs="Times New Roman"/>
          <w:sz w:val="24"/>
          <w:szCs w:val="24"/>
        </w:rPr>
        <w:t xml:space="preserve">: Physical and sexual violence is part of these women’s life. Often the case, that these women are trafficked to the big cities in India from the neighbouring countries of Bangladesh and Nepal. Besides this, these </w:t>
      </w:r>
      <w:r w:rsidRPr="006A68A4">
        <w:rPr>
          <w:rFonts w:asciiTheme="majorHAnsi" w:hAnsiTheme="majorHAnsi" w:cs="Times New Roman"/>
          <w:sz w:val="24"/>
          <w:szCs w:val="24"/>
        </w:rPr>
        <w:lastRenderedPageBreak/>
        <w:t xml:space="preserve">women are vulnerable to sexually transmitted diseases, particularly HIV/AIDS, thus further developing stigma and discrimination in the community. </w:t>
      </w:r>
      <w:r w:rsidRPr="006A68A4">
        <w:rPr>
          <w:rFonts w:asciiTheme="majorHAnsi" w:hAnsiTheme="majorHAnsi"/>
          <w:sz w:val="24"/>
          <w:szCs w:val="24"/>
        </w:rPr>
        <w:t xml:space="preserve">Their health challenges revolve around various sexually transmitted diseases, unprotected sex and others. Harsh Mander’s study also suggests that the holistic health challenges of these sex workers remained unnoticed and even understudied, due to the fact that their health issue are broadly based on the health panic and advocacies around HIV/AIDS. Mander’s ethnography suggests that, it is necessary to look beyond the politics of AIDS, and other serious health issues that they face in their daily life. Besides this, the stigma and discrimination associated to their identity and profession locates them in the vicious cycle of sex work and health risks. </w:t>
      </w:r>
    </w:p>
    <w:p w:rsidR="006A68A4" w:rsidRPr="006A68A4" w:rsidRDefault="006A68A4" w:rsidP="006A68A4">
      <w:pPr>
        <w:pStyle w:val="ListParagraph"/>
        <w:spacing w:line="264" w:lineRule="auto"/>
        <w:jc w:val="both"/>
        <w:rPr>
          <w:rFonts w:asciiTheme="majorHAnsi" w:hAnsiTheme="majorHAnsi"/>
          <w:sz w:val="24"/>
          <w:szCs w:val="24"/>
        </w:rPr>
      </w:pPr>
    </w:p>
    <w:p w:rsidR="006A68A4" w:rsidRPr="006A68A4" w:rsidRDefault="006A68A4" w:rsidP="006A68A4">
      <w:pPr>
        <w:pStyle w:val="ListParagraph"/>
        <w:numPr>
          <w:ilvl w:val="0"/>
          <w:numId w:val="3"/>
        </w:numPr>
        <w:spacing w:line="264" w:lineRule="auto"/>
        <w:jc w:val="both"/>
        <w:rPr>
          <w:rFonts w:asciiTheme="majorHAnsi" w:hAnsiTheme="majorHAnsi"/>
          <w:sz w:val="24"/>
          <w:szCs w:val="24"/>
        </w:rPr>
      </w:pPr>
      <w:r w:rsidRPr="006A68A4">
        <w:rPr>
          <w:rFonts w:asciiTheme="majorHAnsi" w:hAnsiTheme="majorHAnsi" w:cs="Times New Roman"/>
          <w:sz w:val="24"/>
          <w:szCs w:val="24"/>
          <w:u w:val="single"/>
        </w:rPr>
        <w:t>Construction workers</w:t>
      </w:r>
      <w:r w:rsidRPr="006A68A4">
        <w:rPr>
          <w:rFonts w:asciiTheme="majorHAnsi" w:hAnsiTheme="majorHAnsi" w:cs="Times New Roman"/>
          <w:sz w:val="24"/>
          <w:szCs w:val="24"/>
        </w:rPr>
        <w:t xml:space="preserve">: These workers largely comprises of the migrants from small towns and villages, migrating to big cities for work. They are the victims of low pay, various sorts of abuses and threats, dangerous working condition, and lack of access to health and other sorts of amenities –developing a sense of acute vulnerability.  Urban health studies shows that, the women and children as construction site workers are the most affected with various sorts of vulnerabilities, like the verbal, physical and sexual abuses. </w:t>
      </w:r>
      <w:r w:rsidRPr="006A68A4">
        <w:rPr>
          <w:rFonts w:asciiTheme="majorHAnsi" w:hAnsiTheme="majorHAnsi"/>
          <w:sz w:val="24"/>
          <w:szCs w:val="24"/>
        </w:rPr>
        <w:t>These people suffer from various</w:t>
      </w:r>
      <w:r w:rsidR="00055940">
        <w:rPr>
          <w:rFonts w:asciiTheme="majorHAnsi" w:hAnsiTheme="majorHAnsi"/>
          <w:sz w:val="24"/>
          <w:szCs w:val="24"/>
        </w:rPr>
        <w:t xml:space="preserve"> forms of</w:t>
      </w:r>
      <w:r w:rsidRPr="006A68A4">
        <w:rPr>
          <w:rFonts w:asciiTheme="majorHAnsi" w:hAnsiTheme="majorHAnsi"/>
          <w:sz w:val="24"/>
          <w:szCs w:val="24"/>
        </w:rPr>
        <w:t xml:space="preserve"> discrimination of underpayment</w:t>
      </w:r>
      <w:r w:rsidR="00055940">
        <w:rPr>
          <w:rFonts w:asciiTheme="majorHAnsi" w:hAnsiTheme="majorHAnsi"/>
          <w:sz w:val="24"/>
          <w:szCs w:val="24"/>
        </w:rPr>
        <w:t xml:space="preserve"> and</w:t>
      </w:r>
      <w:r w:rsidRPr="006A68A4">
        <w:rPr>
          <w:rFonts w:asciiTheme="majorHAnsi" w:hAnsiTheme="majorHAnsi"/>
          <w:sz w:val="24"/>
          <w:szCs w:val="24"/>
        </w:rPr>
        <w:t xml:space="preserve"> heavy </w:t>
      </w:r>
      <w:r w:rsidR="00055940">
        <w:rPr>
          <w:rFonts w:asciiTheme="majorHAnsi" w:hAnsiTheme="majorHAnsi"/>
          <w:sz w:val="24"/>
          <w:szCs w:val="24"/>
        </w:rPr>
        <w:t xml:space="preserve">work load.  </w:t>
      </w:r>
      <w:r w:rsidRPr="006A68A4">
        <w:rPr>
          <w:rFonts w:asciiTheme="majorHAnsi" w:hAnsiTheme="majorHAnsi"/>
          <w:sz w:val="24"/>
          <w:szCs w:val="24"/>
        </w:rPr>
        <w:t xml:space="preserve">They usually suffer from fear and apprehensions with regards to being jobless due to the insecurity in their profession, and the harassment by their owners. The kind of health challenges that they face are related to their dangerous working conditions and other sorts of violence related to work. Due to their status as migrant workers, they are restricted to any health care facilities. </w:t>
      </w:r>
    </w:p>
    <w:p w:rsidR="006A68A4" w:rsidRPr="006A68A4" w:rsidRDefault="006A68A4" w:rsidP="006A68A4">
      <w:pPr>
        <w:pStyle w:val="ListParagraph"/>
        <w:spacing w:line="264" w:lineRule="auto"/>
        <w:jc w:val="both"/>
        <w:rPr>
          <w:rFonts w:asciiTheme="majorHAnsi" w:hAnsiTheme="majorHAnsi" w:cs="Times New Roman"/>
          <w:sz w:val="24"/>
          <w:szCs w:val="24"/>
        </w:rPr>
      </w:pPr>
    </w:p>
    <w:p w:rsidR="006A68A4" w:rsidRPr="006A68A4" w:rsidRDefault="006A68A4" w:rsidP="006A68A4">
      <w:pPr>
        <w:pStyle w:val="ListParagraph"/>
        <w:numPr>
          <w:ilvl w:val="0"/>
          <w:numId w:val="3"/>
        </w:numPr>
        <w:spacing w:line="264" w:lineRule="auto"/>
        <w:jc w:val="both"/>
        <w:rPr>
          <w:rFonts w:asciiTheme="majorHAnsi" w:hAnsiTheme="majorHAnsi" w:cs="Times New Roman"/>
          <w:sz w:val="24"/>
          <w:szCs w:val="24"/>
        </w:rPr>
      </w:pPr>
      <w:r w:rsidRPr="006A68A4">
        <w:rPr>
          <w:rFonts w:asciiTheme="majorHAnsi" w:hAnsiTheme="majorHAnsi" w:cs="Times New Roman"/>
          <w:sz w:val="24"/>
          <w:szCs w:val="24"/>
          <w:u w:val="single"/>
        </w:rPr>
        <w:t>Elderly poor</w:t>
      </w:r>
      <w:r w:rsidRPr="006A68A4">
        <w:rPr>
          <w:rFonts w:asciiTheme="majorHAnsi" w:hAnsiTheme="majorHAnsi" w:cs="Times New Roman"/>
          <w:sz w:val="24"/>
          <w:szCs w:val="24"/>
        </w:rPr>
        <w:t>: They are vulnerable due to the increased incidences of illness and disability, coupled with neglect and discrimination. The multiple disabilities that they face are, sight and visionary problems, hearing, smell and taste, loss of body mass, reduced muscle mass, decline of the cardiac capacity, and many more.</w:t>
      </w:r>
    </w:p>
    <w:p w:rsidR="006A68A4" w:rsidRPr="006A68A4" w:rsidRDefault="006A68A4" w:rsidP="006A68A4">
      <w:pPr>
        <w:pStyle w:val="ListParagraph"/>
        <w:spacing w:line="264" w:lineRule="auto"/>
        <w:jc w:val="both"/>
        <w:rPr>
          <w:rFonts w:asciiTheme="majorHAnsi" w:hAnsiTheme="majorHAnsi" w:cs="Times New Roman"/>
          <w:sz w:val="24"/>
          <w:szCs w:val="24"/>
        </w:rPr>
      </w:pPr>
    </w:p>
    <w:p w:rsidR="006A68A4" w:rsidRPr="006A68A4" w:rsidRDefault="006A68A4" w:rsidP="006A68A4">
      <w:pPr>
        <w:pStyle w:val="ListParagraph"/>
        <w:numPr>
          <w:ilvl w:val="0"/>
          <w:numId w:val="3"/>
        </w:numPr>
        <w:spacing w:line="264" w:lineRule="auto"/>
        <w:jc w:val="both"/>
        <w:rPr>
          <w:rFonts w:asciiTheme="majorHAnsi" w:hAnsiTheme="majorHAnsi" w:cs="Times New Roman"/>
          <w:sz w:val="24"/>
          <w:szCs w:val="24"/>
        </w:rPr>
      </w:pPr>
      <w:r w:rsidRPr="006A68A4">
        <w:rPr>
          <w:rFonts w:asciiTheme="majorHAnsi" w:hAnsiTheme="majorHAnsi" w:cs="Times New Roman"/>
          <w:sz w:val="24"/>
          <w:szCs w:val="24"/>
          <w:u w:val="single"/>
        </w:rPr>
        <w:t>Disabled person:</w:t>
      </w:r>
      <w:r w:rsidRPr="006A68A4">
        <w:rPr>
          <w:rFonts w:asciiTheme="majorHAnsi" w:hAnsiTheme="majorHAnsi" w:cs="Times New Roman"/>
          <w:sz w:val="24"/>
          <w:szCs w:val="24"/>
        </w:rPr>
        <w:t xml:space="preserve"> The disabled person that may include people with poor vision, hearing impairment, loco-motor impairment. The stigma attached to disabled person is the unaccountability of them with regards to equal opportunities and rights. </w:t>
      </w:r>
    </w:p>
    <w:p w:rsidR="006A68A4" w:rsidRPr="006A68A4" w:rsidRDefault="006A68A4" w:rsidP="006A68A4">
      <w:pPr>
        <w:pStyle w:val="ListParagraph"/>
        <w:spacing w:line="264" w:lineRule="auto"/>
        <w:rPr>
          <w:rFonts w:asciiTheme="majorHAnsi" w:hAnsiTheme="majorHAnsi" w:cs="Times New Roman"/>
          <w:sz w:val="24"/>
          <w:szCs w:val="24"/>
        </w:rPr>
      </w:pPr>
    </w:p>
    <w:p w:rsidR="006A68A4" w:rsidRPr="006A68A4" w:rsidRDefault="006A68A4" w:rsidP="006A68A4">
      <w:pPr>
        <w:pStyle w:val="ListParagraph"/>
        <w:numPr>
          <w:ilvl w:val="0"/>
          <w:numId w:val="3"/>
        </w:numPr>
        <w:spacing w:line="264" w:lineRule="auto"/>
        <w:jc w:val="both"/>
        <w:rPr>
          <w:rFonts w:asciiTheme="majorHAnsi" w:hAnsiTheme="majorHAnsi" w:cs="Times New Roman"/>
          <w:sz w:val="24"/>
          <w:szCs w:val="24"/>
        </w:rPr>
      </w:pPr>
      <w:r w:rsidRPr="006A68A4">
        <w:rPr>
          <w:rFonts w:asciiTheme="majorHAnsi" w:hAnsiTheme="majorHAnsi" w:cs="Times New Roman"/>
          <w:sz w:val="24"/>
          <w:szCs w:val="24"/>
          <w:u w:val="single"/>
        </w:rPr>
        <w:t>People with Mental Illness</w:t>
      </w:r>
      <w:r w:rsidRPr="006A68A4">
        <w:rPr>
          <w:rFonts w:asciiTheme="majorHAnsi" w:hAnsiTheme="majorHAnsi" w:cs="Times New Roman"/>
          <w:sz w:val="24"/>
          <w:szCs w:val="24"/>
        </w:rPr>
        <w:t xml:space="preserve">: This sort of illness has very unfavourable conditions to people affected, that may lead to acute stigma and discrimination. The stigma attached to them flows across all the ‘residential’, ‘occupational’ and ‘social’ vulnerability –in case of which, the society, family and workplace stigmatizes the individual who is suffering from mental health issues. </w:t>
      </w:r>
    </w:p>
    <w:p w:rsidR="006A68A4" w:rsidRPr="006A68A4" w:rsidRDefault="006A68A4" w:rsidP="006A68A4">
      <w:pPr>
        <w:pStyle w:val="ListParagraph"/>
        <w:spacing w:line="264" w:lineRule="auto"/>
        <w:rPr>
          <w:rFonts w:asciiTheme="majorHAnsi" w:hAnsiTheme="majorHAnsi" w:cs="Times New Roman"/>
          <w:sz w:val="24"/>
          <w:szCs w:val="24"/>
        </w:rPr>
      </w:pPr>
    </w:p>
    <w:p w:rsidR="006A68A4" w:rsidRPr="006A68A4" w:rsidRDefault="006A68A4" w:rsidP="006A68A4">
      <w:pPr>
        <w:pStyle w:val="ListParagraph"/>
        <w:numPr>
          <w:ilvl w:val="0"/>
          <w:numId w:val="3"/>
        </w:numPr>
        <w:spacing w:line="264" w:lineRule="auto"/>
        <w:jc w:val="both"/>
        <w:rPr>
          <w:rFonts w:asciiTheme="majorHAnsi" w:hAnsiTheme="majorHAnsi" w:cs="Times New Roman"/>
          <w:sz w:val="24"/>
          <w:szCs w:val="24"/>
        </w:rPr>
      </w:pPr>
      <w:r w:rsidRPr="006A68A4">
        <w:rPr>
          <w:rFonts w:asciiTheme="majorHAnsi" w:hAnsiTheme="majorHAnsi" w:cs="Times New Roman"/>
          <w:sz w:val="24"/>
          <w:szCs w:val="24"/>
          <w:u w:val="single"/>
        </w:rPr>
        <w:lastRenderedPageBreak/>
        <w:t>LGBT Community</w:t>
      </w:r>
      <w:r w:rsidRPr="006A68A4">
        <w:rPr>
          <w:rFonts w:asciiTheme="majorHAnsi" w:hAnsiTheme="majorHAnsi" w:cs="Times New Roman"/>
          <w:sz w:val="24"/>
          <w:szCs w:val="24"/>
        </w:rPr>
        <w:t xml:space="preserve"> – The PHRN (2010) notes the fact that the LGBT community [lesbian, gay, bisexual and transgender] faces acute discrimination. The PHRN further states that, despite the Delhi High Court verdict on decriminalizing homosexuality, the discriminations against sexual minorities has not become less, yet remained the same. The report further states about the concept of ‘’additional stigma’  of the sexual being and in ‘addition’ to those of who are diagnosed with HIV/AIDS or other sexually transmitted diseases.</w:t>
      </w:r>
    </w:p>
    <w:p w:rsidR="006A68A4" w:rsidRPr="006A68A4" w:rsidRDefault="006A68A4" w:rsidP="006A68A4">
      <w:pPr>
        <w:spacing w:line="264" w:lineRule="auto"/>
        <w:contextualSpacing/>
        <w:jc w:val="both"/>
        <w:rPr>
          <w:rFonts w:asciiTheme="majorHAnsi" w:hAnsiTheme="majorHAnsi" w:cs="Times New Roman"/>
          <w:sz w:val="24"/>
          <w:szCs w:val="24"/>
        </w:rPr>
      </w:pPr>
      <w:r w:rsidRPr="006A68A4">
        <w:rPr>
          <w:rFonts w:asciiTheme="majorHAnsi" w:hAnsiTheme="majorHAnsi" w:cs="Times New Roman"/>
          <w:sz w:val="24"/>
          <w:szCs w:val="24"/>
        </w:rPr>
        <w:t xml:space="preserve">The PHRN (2012) articulates various challenges to health among the urban poor. </w:t>
      </w:r>
    </w:p>
    <w:p w:rsidR="006A68A4" w:rsidRDefault="006A68A4" w:rsidP="006A68A4">
      <w:pPr>
        <w:pStyle w:val="ListParagraph"/>
        <w:numPr>
          <w:ilvl w:val="0"/>
          <w:numId w:val="4"/>
        </w:numPr>
        <w:spacing w:line="264" w:lineRule="auto"/>
        <w:jc w:val="both"/>
        <w:rPr>
          <w:rFonts w:asciiTheme="majorHAnsi" w:hAnsiTheme="majorHAnsi" w:cs="Times New Roman"/>
          <w:sz w:val="24"/>
          <w:szCs w:val="24"/>
        </w:rPr>
      </w:pPr>
      <w:r w:rsidRPr="006A68A4">
        <w:rPr>
          <w:rFonts w:asciiTheme="majorHAnsi" w:hAnsiTheme="majorHAnsi" w:cs="Times New Roman"/>
          <w:sz w:val="24"/>
          <w:szCs w:val="24"/>
        </w:rPr>
        <w:t xml:space="preserve">Street Children - Child, infant and neonatal survival among urban poor:  The Report states about the high incidences under-nutrition among urban poor children, leading to underweight and other health prone diseases. </w:t>
      </w:r>
    </w:p>
    <w:p w:rsidR="00E242EB" w:rsidRPr="006A68A4" w:rsidRDefault="00E242EB" w:rsidP="00E242EB">
      <w:pPr>
        <w:pStyle w:val="ListParagraph"/>
        <w:spacing w:line="264" w:lineRule="auto"/>
        <w:jc w:val="both"/>
        <w:rPr>
          <w:rFonts w:asciiTheme="majorHAnsi" w:hAnsiTheme="majorHAnsi" w:cs="Times New Roman"/>
          <w:sz w:val="24"/>
          <w:szCs w:val="24"/>
        </w:rPr>
      </w:pPr>
    </w:p>
    <w:p w:rsidR="006A68A4" w:rsidRDefault="006A68A4" w:rsidP="006A68A4">
      <w:pPr>
        <w:pStyle w:val="ListParagraph"/>
        <w:numPr>
          <w:ilvl w:val="0"/>
          <w:numId w:val="4"/>
        </w:numPr>
        <w:spacing w:line="264" w:lineRule="auto"/>
        <w:jc w:val="both"/>
        <w:rPr>
          <w:rFonts w:asciiTheme="majorHAnsi" w:hAnsiTheme="majorHAnsi" w:cs="Times New Roman"/>
          <w:sz w:val="24"/>
          <w:szCs w:val="24"/>
        </w:rPr>
      </w:pPr>
      <w:r w:rsidRPr="006A68A4">
        <w:rPr>
          <w:rFonts w:asciiTheme="majorHAnsi" w:hAnsiTheme="majorHAnsi" w:cs="Times New Roman"/>
          <w:sz w:val="24"/>
          <w:szCs w:val="24"/>
        </w:rPr>
        <w:t xml:space="preserve">Yesudian’s study of urban poverty and their health in Mumbai and Bhopal, states the fact that, the urban poor people are prone to communicable disease as well as chronic diseases. </w:t>
      </w:r>
    </w:p>
    <w:p w:rsidR="00E242EB" w:rsidRPr="00E242EB" w:rsidRDefault="00E242EB" w:rsidP="00E242EB">
      <w:pPr>
        <w:pStyle w:val="ListParagraph"/>
        <w:rPr>
          <w:rFonts w:asciiTheme="majorHAnsi" w:hAnsiTheme="majorHAnsi" w:cs="Times New Roman"/>
          <w:sz w:val="24"/>
          <w:szCs w:val="24"/>
        </w:rPr>
      </w:pPr>
    </w:p>
    <w:p w:rsidR="006A68A4" w:rsidRDefault="006A68A4" w:rsidP="006A68A4">
      <w:pPr>
        <w:pStyle w:val="ListParagraph"/>
        <w:numPr>
          <w:ilvl w:val="0"/>
          <w:numId w:val="4"/>
        </w:numPr>
        <w:spacing w:line="264" w:lineRule="auto"/>
        <w:jc w:val="both"/>
        <w:rPr>
          <w:rFonts w:asciiTheme="majorHAnsi" w:hAnsiTheme="majorHAnsi" w:cs="Times New Roman"/>
          <w:sz w:val="24"/>
          <w:szCs w:val="24"/>
        </w:rPr>
      </w:pPr>
      <w:r w:rsidRPr="006A68A4">
        <w:rPr>
          <w:rFonts w:asciiTheme="majorHAnsi" w:hAnsiTheme="majorHAnsi" w:cs="Times New Roman"/>
          <w:sz w:val="24"/>
          <w:szCs w:val="24"/>
        </w:rPr>
        <w:t xml:space="preserve">The USAID Report (2007) on the challenges of health among the urban poor draws its argument about the migration factors, population mobility and higher birth rates –leading to health risks among the mother and the new born baby. </w:t>
      </w:r>
    </w:p>
    <w:p w:rsidR="00E242EB" w:rsidRPr="00E242EB" w:rsidRDefault="00E242EB" w:rsidP="00E242EB">
      <w:pPr>
        <w:pStyle w:val="ListParagraph"/>
        <w:rPr>
          <w:rFonts w:asciiTheme="majorHAnsi" w:hAnsiTheme="majorHAnsi" w:cs="Times New Roman"/>
          <w:sz w:val="24"/>
          <w:szCs w:val="24"/>
        </w:rPr>
      </w:pPr>
    </w:p>
    <w:p w:rsidR="006A68A4" w:rsidRDefault="006A68A4" w:rsidP="006A68A4">
      <w:pPr>
        <w:pStyle w:val="ListParagraph"/>
        <w:numPr>
          <w:ilvl w:val="0"/>
          <w:numId w:val="4"/>
        </w:numPr>
        <w:spacing w:line="264" w:lineRule="auto"/>
        <w:jc w:val="both"/>
        <w:rPr>
          <w:rFonts w:asciiTheme="majorHAnsi" w:hAnsiTheme="majorHAnsi" w:cs="Times New Roman"/>
          <w:sz w:val="24"/>
          <w:szCs w:val="24"/>
        </w:rPr>
      </w:pPr>
      <w:r w:rsidRPr="006A68A4">
        <w:rPr>
          <w:rFonts w:asciiTheme="majorHAnsi" w:hAnsiTheme="majorHAnsi" w:cs="Times New Roman"/>
          <w:sz w:val="24"/>
          <w:szCs w:val="24"/>
        </w:rPr>
        <w:t xml:space="preserve">Shriya Malhotra’s (2010) states the urban poverty and poor infrastructure of the slum, leads to various water-borne epidemics, like, cholera, tuberculosis, and dysentery. And sometimes, ‘seasonal disease’ such as malaria and dengue. Malhotra further states that, plague and water-borne diseases are increasing rapidly in India, due to poor water storage mechanisms, lack of tap water facilities in the urban slums (see also, NUHM Structure Report, 2012), poor drainage and sewage management, and the grave conditions of solid waste management in the slum area – often creating in stingy slum neighbourhoods, contaminated by various types of insects and flies from the slum dwellers to those open areas; leading to degrading environmental and physical conditions (see also, Yadav, Nikhil and Pandav, 2011). </w:t>
      </w:r>
    </w:p>
    <w:p w:rsidR="00E242EB" w:rsidRPr="00E242EB" w:rsidRDefault="00E242EB" w:rsidP="00E242EB">
      <w:pPr>
        <w:pStyle w:val="ListParagraph"/>
        <w:rPr>
          <w:rFonts w:asciiTheme="majorHAnsi" w:hAnsiTheme="majorHAnsi" w:cs="Times New Roman"/>
          <w:sz w:val="24"/>
          <w:szCs w:val="24"/>
        </w:rPr>
      </w:pPr>
    </w:p>
    <w:p w:rsidR="006A68A4" w:rsidRDefault="006A68A4" w:rsidP="006A68A4">
      <w:pPr>
        <w:pStyle w:val="ListParagraph"/>
        <w:numPr>
          <w:ilvl w:val="0"/>
          <w:numId w:val="4"/>
        </w:numPr>
        <w:spacing w:line="264" w:lineRule="auto"/>
        <w:jc w:val="both"/>
        <w:rPr>
          <w:rFonts w:asciiTheme="majorHAnsi" w:hAnsiTheme="majorHAnsi" w:cs="Times New Roman"/>
          <w:sz w:val="24"/>
          <w:szCs w:val="24"/>
        </w:rPr>
      </w:pPr>
      <w:r w:rsidRPr="006A68A4">
        <w:rPr>
          <w:rFonts w:asciiTheme="majorHAnsi" w:hAnsiTheme="majorHAnsi" w:cs="Times New Roman"/>
          <w:sz w:val="24"/>
          <w:szCs w:val="24"/>
        </w:rPr>
        <w:t xml:space="preserve">The PHRN Report (2012) charts other urban health diseases, like diabetes, cancer, asthma. Moreover, the disability issues are rapidly increasing in India. In addition to it, mental health problems schizophrenia, mood disorders and mental retardation has created a mass disease burden that has remained unnoticed, up until recently with the further research work carried on urban health issues. </w:t>
      </w:r>
    </w:p>
    <w:p w:rsidR="00E242EB" w:rsidRPr="00E242EB" w:rsidRDefault="00E242EB" w:rsidP="00E242EB">
      <w:pPr>
        <w:pStyle w:val="ListParagraph"/>
        <w:rPr>
          <w:rFonts w:asciiTheme="majorHAnsi" w:hAnsiTheme="majorHAnsi" w:cs="Times New Roman"/>
          <w:sz w:val="24"/>
          <w:szCs w:val="24"/>
        </w:rPr>
      </w:pPr>
    </w:p>
    <w:p w:rsidR="00E242EB" w:rsidRPr="006A68A4" w:rsidRDefault="00E242EB" w:rsidP="00E242EB">
      <w:pPr>
        <w:pStyle w:val="ListParagraph"/>
        <w:spacing w:line="264" w:lineRule="auto"/>
        <w:jc w:val="both"/>
        <w:rPr>
          <w:rFonts w:asciiTheme="majorHAnsi" w:hAnsiTheme="majorHAnsi" w:cs="Times New Roman"/>
          <w:sz w:val="24"/>
          <w:szCs w:val="24"/>
        </w:rPr>
      </w:pPr>
    </w:p>
    <w:p w:rsidR="006A68A4" w:rsidRPr="006A68A4" w:rsidRDefault="006A68A4" w:rsidP="006A68A4">
      <w:pPr>
        <w:pStyle w:val="ListParagraph"/>
        <w:spacing w:line="264" w:lineRule="auto"/>
        <w:jc w:val="both"/>
        <w:rPr>
          <w:rFonts w:asciiTheme="majorHAnsi" w:hAnsiTheme="majorHAnsi" w:cs="Times New Roman"/>
          <w:sz w:val="24"/>
          <w:szCs w:val="24"/>
        </w:rPr>
      </w:pPr>
    </w:p>
    <w:p w:rsidR="006A68A4" w:rsidRPr="006A68A4" w:rsidRDefault="006A68A4" w:rsidP="006A68A4">
      <w:pPr>
        <w:spacing w:line="264" w:lineRule="auto"/>
        <w:contextualSpacing/>
        <w:jc w:val="both"/>
        <w:rPr>
          <w:rFonts w:asciiTheme="majorHAnsi" w:hAnsiTheme="majorHAnsi" w:cs="Times New Roman"/>
          <w:b/>
          <w:bCs/>
          <w:iCs/>
          <w:sz w:val="24"/>
          <w:szCs w:val="24"/>
        </w:rPr>
      </w:pPr>
      <w:r w:rsidRPr="006A68A4">
        <w:rPr>
          <w:rFonts w:asciiTheme="majorHAnsi" w:hAnsiTheme="majorHAnsi" w:cs="Times New Roman"/>
          <w:b/>
          <w:bCs/>
          <w:iCs/>
          <w:sz w:val="24"/>
          <w:szCs w:val="24"/>
        </w:rPr>
        <w:lastRenderedPageBreak/>
        <w:t>‘Good Practices’ –Appropriate, Preventive, Promotional and Curative Health</w:t>
      </w:r>
    </w:p>
    <w:p w:rsidR="006A68A4" w:rsidRPr="006A68A4" w:rsidRDefault="006A68A4" w:rsidP="006A68A4">
      <w:pPr>
        <w:spacing w:line="264" w:lineRule="auto"/>
        <w:contextualSpacing/>
        <w:jc w:val="both"/>
        <w:rPr>
          <w:rFonts w:asciiTheme="majorHAnsi" w:hAnsiTheme="majorHAnsi" w:cs="Times New Roman"/>
          <w:sz w:val="24"/>
          <w:szCs w:val="24"/>
        </w:rPr>
      </w:pPr>
    </w:p>
    <w:p w:rsidR="006A68A4" w:rsidRPr="006A68A4" w:rsidRDefault="006A68A4" w:rsidP="000C4AB7">
      <w:pPr>
        <w:spacing w:after="120" w:line="264" w:lineRule="auto"/>
        <w:contextualSpacing/>
        <w:jc w:val="both"/>
        <w:rPr>
          <w:rFonts w:asciiTheme="majorHAnsi" w:hAnsiTheme="majorHAnsi" w:cs="Times New Roman"/>
          <w:sz w:val="24"/>
          <w:szCs w:val="24"/>
        </w:rPr>
      </w:pPr>
      <w:r w:rsidRPr="006A68A4">
        <w:rPr>
          <w:rFonts w:asciiTheme="majorHAnsi" w:hAnsiTheme="majorHAnsi" w:cs="Times New Roman"/>
          <w:sz w:val="24"/>
          <w:szCs w:val="24"/>
        </w:rPr>
        <w:t>Civil society participation is one of the Good Governance principles in addition to accountability, transparency and non-discrimination. It allows in capturing feedback from the poor about the quality of service delivery and complaint response –thereby enhancing accountability and democratic ideals. It is a tool to expose inadequate practices and to ensure transparency in fulfilling the rights of the underprivileged population and the community. Several forms of institutionalised and non-institutionalised citizen participation exist. The PHRN Report (2012) asserts certain ‘best practices’ as exemplary to civil society initiative for and good governance among the urban poor.</w:t>
      </w:r>
    </w:p>
    <w:p w:rsidR="006A68A4" w:rsidRPr="006A68A4" w:rsidRDefault="006A68A4" w:rsidP="006A68A4">
      <w:pPr>
        <w:pStyle w:val="ListParagraph"/>
        <w:numPr>
          <w:ilvl w:val="0"/>
          <w:numId w:val="5"/>
        </w:numPr>
        <w:spacing w:line="264" w:lineRule="auto"/>
        <w:jc w:val="both"/>
        <w:rPr>
          <w:rFonts w:asciiTheme="majorHAnsi" w:hAnsiTheme="majorHAnsi" w:cs="Times New Roman"/>
          <w:sz w:val="24"/>
          <w:szCs w:val="24"/>
        </w:rPr>
      </w:pPr>
      <w:r w:rsidRPr="006A68A4">
        <w:rPr>
          <w:rFonts w:asciiTheme="majorHAnsi" w:hAnsiTheme="majorHAnsi" w:cs="Times New Roman"/>
          <w:sz w:val="24"/>
          <w:szCs w:val="24"/>
        </w:rPr>
        <w:t>For Beggars – ‘</w:t>
      </w:r>
      <w:r w:rsidRPr="006A68A4">
        <w:rPr>
          <w:rFonts w:asciiTheme="majorHAnsi" w:hAnsiTheme="majorHAnsi" w:cs="Times New Roman"/>
          <w:b/>
          <w:bCs/>
          <w:sz w:val="24"/>
          <w:szCs w:val="24"/>
        </w:rPr>
        <w:t>KOSISH’ in Mumbai –</w:t>
      </w:r>
      <w:r w:rsidRPr="006A68A4">
        <w:rPr>
          <w:rFonts w:asciiTheme="majorHAnsi" w:hAnsiTheme="majorHAnsi" w:cs="Times New Roman"/>
          <w:sz w:val="24"/>
          <w:szCs w:val="24"/>
        </w:rPr>
        <w:t xml:space="preserve">looking into the rehabilitation of these population through vocational trainings and guidelines. It also includes destitute and homeless people by providing them food, shelter and clothing. </w:t>
      </w:r>
    </w:p>
    <w:p w:rsidR="006A68A4" w:rsidRPr="006A68A4" w:rsidRDefault="006A68A4" w:rsidP="006A68A4">
      <w:pPr>
        <w:pStyle w:val="ListParagraph"/>
        <w:numPr>
          <w:ilvl w:val="0"/>
          <w:numId w:val="5"/>
        </w:numPr>
        <w:spacing w:line="264" w:lineRule="auto"/>
        <w:jc w:val="both"/>
        <w:rPr>
          <w:rFonts w:asciiTheme="majorHAnsi" w:hAnsiTheme="majorHAnsi" w:cs="Times New Roman"/>
          <w:sz w:val="24"/>
          <w:szCs w:val="24"/>
        </w:rPr>
      </w:pPr>
      <w:r w:rsidRPr="006A68A4">
        <w:rPr>
          <w:rFonts w:asciiTheme="majorHAnsi" w:hAnsiTheme="majorHAnsi" w:cs="Times New Roman"/>
          <w:sz w:val="24"/>
          <w:szCs w:val="24"/>
        </w:rPr>
        <w:t xml:space="preserve">For Street Children </w:t>
      </w:r>
      <w:r w:rsidRPr="006A68A4">
        <w:rPr>
          <w:rFonts w:asciiTheme="majorHAnsi" w:hAnsiTheme="majorHAnsi" w:cs="Times New Roman"/>
          <w:b/>
          <w:bCs/>
          <w:sz w:val="24"/>
          <w:szCs w:val="24"/>
        </w:rPr>
        <w:t>–‘PRAYAS’ in Mumbai</w:t>
      </w:r>
      <w:r w:rsidRPr="006A68A4">
        <w:rPr>
          <w:rFonts w:asciiTheme="majorHAnsi" w:hAnsiTheme="majorHAnsi" w:cs="Times New Roman"/>
          <w:sz w:val="24"/>
          <w:szCs w:val="24"/>
        </w:rPr>
        <w:t xml:space="preserve"> –exploring and integrating street children with intervention programs related to providing shelter, health services, food, education, psychological counselling, and so on. ‘Prayas’ has setup rehabilitation centres for these street children who are into the rag picking, shoeshine boys, street vendors, children of beggars, and children of sex workers –aiming to provide them the facilities for better life.</w:t>
      </w:r>
    </w:p>
    <w:p w:rsidR="006A68A4" w:rsidRPr="006A68A4" w:rsidRDefault="006A68A4" w:rsidP="006A68A4">
      <w:pPr>
        <w:pStyle w:val="ListParagraph"/>
        <w:numPr>
          <w:ilvl w:val="0"/>
          <w:numId w:val="5"/>
        </w:numPr>
        <w:spacing w:line="264" w:lineRule="auto"/>
        <w:jc w:val="both"/>
        <w:rPr>
          <w:rFonts w:asciiTheme="majorHAnsi" w:hAnsiTheme="majorHAnsi" w:cs="Times New Roman"/>
          <w:sz w:val="24"/>
          <w:szCs w:val="24"/>
        </w:rPr>
      </w:pPr>
      <w:r w:rsidRPr="006A68A4">
        <w:rPr>
          <w:rFonts w:asciiTheme="majorHAnsi" w:hAnsiTheme="majorHAnsi" w:cs="Times New Roman"/>
          <w:sz w:val="24"/>
          <w:szCs w:val="24"/>
        </w:rPr>
        <w:t xml:space="preserve">For Sex workers – </w:t>
      </w:r>
      <w:r w:rsidRPr="006A68A4">
        <w:rPr>
          <w:rFonts w:asciiTheme="majorHAnsi" w:hAnsiTheme="majorHAnsi" w:cs="Times New Roman"/>
          <w:b/>
          <w:bCs/>
          <w:sz w:val="24"/>
          <w:szCs w:val="24"/>
        </w:rPr>
        <w:t>‘ROSHNI’ in Mumbai</w:t>
      </w:r>
      <w:r w:rsidRPr="006A68A4">
        <w:rPr>
          <w:rFonts w:asciiTheme="majorHAnsi" w:hAnsiTheme="majorHAnsi" w:cs="Times New Roman"/>
          <w:sz w:val="24"/>
          <w:szCs w:val="24"/>
        </w:rPr>
        <w:t xml:space="preserve"> –programmatic approach that deals with medical and psychological care and support to the sex workers. Further enhancing rights to privacy, confidentiality and knowledge sharing on the basis of sex education, HIV and other sexually transmitted diseases. The organization also provides ‘shelter’ to the children of the sex workers with regards to their education and other needs.</w:t>
      </w:r>
    </w:p>
    <w:p w:rsidR="006A68A4" w:rsidRPr="006A68A4" w:rsidRDefault="006A68A4" w:rsidP="006A68A4">
      <w:pPr>
        <w:pStyle w:val="ListParagraph"/>
        <w:numPr>
          <w:ilvl w:val="0"/>
          <w:numId w:val="5"/>
        </w:numPr>
        <w:spacing w:line="264" w:lineRule="auto"/>
        <w:jc w:val="both"/>
        <w:rPr>
          <w:rFonts w:asciiTheme="majorHAnsi" w:hAnsiTheme="majorHAnsi" w:cs="Times New Roman"/>
          <w:sz w:val="24"/>
          <w:szCs w:val="24"/>
        </w:rPr>
      </w:pPr>
      <w:r w:rsidRPr="006A68A4">
        <w:rPr>
          <w:rFonts w:asciiTheme="majorHAnsi" w:hAnsiTheme="majorHAnsi" w:cs="Times New Roman"/>
          <w:sz w:val="24"/>
          <w:szCs w:val="24"/>
        </w:rPr>
        <w:t>For Sex Trafficking of women and children – ‘</w:t>
      </w:r>
      <w:r w:rsidRPr="006A68A4">
        <w:rPr>
          <w:rFonts w:asciiTheme="majorHAnsi" w:hAnsiTheme="majorHAnsi" w:cs="Times New Roman"/>
          <w:b/>
          <w:bCs/>
          <w:sz w:val="24"/>
          <w:szCs w:val="24"/>
        </w:rPr>
        <w:t>IMPULSE’ in Meghalaya</w:t>
      </w:r>
      <w:r w:rsidRPr="006A68A4">
        <w:rPr>
          <w:rFonts w:asciiTheme="majorHAnsi" w:hAnsiTheme="majorHAnsi" w:cs="Times New Roman"/>
          <w:sz w:val="24"/>
          <w:szCs w:val="24"/>
        </w:rPr>
        <w:t xml:space="preserve"> – works with the trafficked women and children who are forced into sex and labour. This brings into the pioneering ‘Meghalaya Model’ that asserts to integrate the government, civil society and public initiative in awareness building, and to keep a check on trafficking. </w:t>
      </w:r>
    </w:p>
    <w:p w:rsidR="006A68A4" w:rsidRPr="006A68A4" w:rsidRDefault="006A68A4" w:rsidP="006A68A4">
      <w:pPr>
        <w:pStyle w:val="ListParagraph"/>
        <w:numPr>
          <w:ilvl w:val="0"/>
          <w:numId w:val="5"/>
        </w:numPr>
        <w:spacing w:line="264" w:lineRule="auto"/>
        <w:jc w:val="both"/>
        <w:rPr>
          <w:rFonts w:asciiTheme="majorHAnsi" w:hAnsiTheme="majorHAnsi" w:cs="Times New Roman"/>
          <w:sz w:val="24"/>
          <w:szCs w:val="24"/>
        </w:rPr>
      </w:pPr>
      <w:r w:rsidRPr="006A68A4">
        <w:rPr>
          <w:rFonts w:asciiTheme="majorHAnsi" w:hAnsiTheme="majorHAnsi" w:cs="Times New Roman"/>
          <w:sz w:val="24"/>
          <w:szCs w:val="24"/>
        </w:rPr>
        <w:t xml:space="preserve">For the Elderly – </w:t>
      </w:r>
      <w:r w:rsidRPr="006A68A4">
        <w:rPr>
          <w:rFonts w:asciiTheme="majorHAnsi" w:hAnsiTheme="majorHAnsi" w:cs="Times New Roman"/>
          <w:b/>
          <w:bCs/>
          <w:sz w:val="24"/>
          <w:szCs w:val="24"/>
        </w:rPr>
        <w:t>HelpAge India</w:t>
      </w:r>
      <w:r w:rsidRPr="006A68A4">
        <w:rPr>
          <w:rFonts w:asciiTheme="majorHAnsi" w:hAnsiTheme="majorHAnsi" w:cs="Times New Roman"/>
          <w:sz w:val="24"/>
          <w:szCs w:val="24"/>
        </w:rPr>
        <w:t xml:space="preserve"> – and their mission is to ‘speak out’ on behalf of the country’s elderly population, and enabling them with dignity, security and independence.</w:t>
      </w:r>
    </w:p>
    <w:p w:rsidR="006A68A4" w:rsidRPr="006A68A4" w:rsidRDefault="006A68A4" w:rsidP="006A68A4">
      <w:pPr>
        <w:pStyle w:val="ListParagraph"/>
        <w:numPr>
          <w:ilvl w:val="0"/>
          <w:numId w:val="5"/>
        </w:numPr>
        <w:spacing w:line="264" w:lineRule="auto"/>
        <w:jc w:val="both"/>
        <w:rPr>
          <w:rFonts w:asciiTheme="majorHAnsi" w:hAnsiTheme="majorHAnsi" w:cs="Times New Roman"/>
          <w:sz w:val="24"/>
          <w:szCs w:val="24"/>
        </w:rPr>
      </w:pPr>
      <w:r w:rsidRPr="006A68A4">
        <w:rPr>
          <w:rFonts w:asciiTheme="majorHAnsi" w:hAnsiTheme="majorHAnsi" w:cs="Times New Roman"/>
          <w:sz w:val="24"/>
          <w:szCs w:val="24"/>
        </w:rPr>
        <w:t xml:space="preserve">The disabled/ less abled people – </w:t>
      </w:r>
      <w:r w:rsidRPr="006A68A4">
        <w:rPr>
          <w:rFonts w:asciiTheme="majorHAnsi" w:hAnsiTheme="majorHAnsi" w:cs="Times New Roman"/>
          <w:b/>
          <w:bCs/>
          <w:sz w:val="24"/>
          <w:szCs w:val="24"/>
        </w:rPr>
        <w:t>NASEOH-</w:t>
      </w:r>
      <w:r w:rsidRPr="006A68A4">
        <w:rPr>
          <w:rFonts w:asciiTheme="majorHAnsi" w:hAnsiTheme="majorHAnsi" w:cs="Times New Roman"/>
          <w:sz w:val="24"/>
          <w:szCs w:val="24"/>
        </w:rPr>
        <w:t xml:space="preserve"> or, National Society for Equal Opportunity for the Handicapped, looks into the rehabilitation opportunities to the disabled people, whilst attempting to ‘mainstream’ them. The NASEOH’s politics on empowerment of the disabled is largely based on the processes of visibilities of these people in the everyday life, workplaces and homes; looking into the inclusive and rights based technologies that talks about ‘equal opportunities’ at every spheres. Also, NESEOH urges to strengthen the public sector enterprises and the </w:t>
      </w:r>
      <w:r w:rsidRPr="006A68A4">
        <w:rPr>
          <w:rFonts w:asciiTheme="majorHAnsi" w:hAnsiTheme="majorHAnsi" w:cs="Times New Roman"/>
          <w:sz w:val="24"/>
          <w:szCs w:val="24"/>
        </w:rPr>
        <w:lastRenderedPageBreak/>
        <w:t>government to establish disabled friendly infrastructure, housing and civic amenities, by which these population could become more independent and mobile.</w:t>
      </w:r>
    </w:p>
    <w:p w:rsidR="006A68A4" w:rsidRPr="006A68A4" w:rsidRDefault="006A68A4" w:rsidP="006A68A4">
      <w:pPr>
        <w:pStyle w:val="ListParagraph"/>
        <w:numPr>
          <w:ilvl w:val="0"/>
          <w:numId w:val="5"/>
        </w:numPr>
        <w:spacing w:line="264" w:lineRule="auto"/>
        <w:jc w:val="both"/>
        <w:rPr>
          <w:rFonts w:asciiTheme="majorHAnsi" w:hAnsiTheme="majorHAnsi" w:cs="Times New Roman"/>
          <w:sz w:val="24"/>
          <w:szCs w:val="24"/>
        </w:rPr>
      </w:pPr>
      <w:r w:rsidRPr="006A68A4">
        <w:rPr>
          <w:rFonts w:asciiTheme="majorHAnsi" w:hAnsiTheme="majorHAnsi" w:cs="Times New Roman"/>
          <w:sz w:val="24"/>
          <w:szCs w:val="24"/>
        </w:rPr>
        <w:t xml:space="preserve">For mental illness – </w:t>
      </w:r>
      <w:r w:rsidRPr="006A68A4">
        <w:rPr>
          <w:rFonts w:asciiTheme="majorHAnsi" w:hAnsiTheme="majorHAnsi" w:cs="Times New Roman"/>
          <w:b/>
          <w:bCs/>
          <w:sz w:val="24"/>
          <w:szCs w:val="24"/>
        </w:rPr>
        <w:t>THE BANYAN</w:t>
      </w:r>
      <w:r w:rsidRPr="006A68A4">
        <w:rPr>
          <w:rFonts w:asciiTheme="majorHAnsi" w:hAnsiTheme="majorHAnsi" w:cs="Times New Roman"/>
          <w:sz w:val="24"/>
          <w:szCs w:val="24"/>
        </w:rPr>
        <w:t xml:space="preserve"> in Chennai – which looks into the health care facilities and shelter to women with mental health issues. The organization looks into providing shelter, rehabilitation and counseling to these women, and eventually making them ‘independent’ through rigorous psychotherapies, based on specific need. The main motto of the organization is to ‘reintegrate’ them in the mainstream society.</w:t>
      </w:r>
    </w:p>
    <w:p w:rsidR="006A68A4" w:rsidRPr="006A68A4" w:rsidRDefault="006A68A4" w:rsidP="006A68A4">
      <w:pPr>
        <w:pStyle w:val="ListParagraph"/>
        <w:numPr>
          <w:ilvl w:val="0"/>
          <w:numId w:val="5"/>
        </w:numPr>
        <w:spacing w:line="264" w:lineRule="auto"/>
        <w:jc w:val="both"/>
        <w:rPr>
          <w:rFonts w:asciiTheme="majorHAnsi" w:hAnsiTheme="majorHAnsi" w:cs="Times New Roman"/>
          <w:sz w:val="24"/>
          <w:szCs w:val="24"/>
        </w:rPr>
      </w:pPr>
      <w:r w:rsidRPr="006A68A4">
        <w:rPr>
          <w:rFonts w:asciiTheme="majorHAnsi" w:hAnsiTheme="majorHAnsi" w:cs="Times New Roman"/>
          <w:sz w:val="24"/>
          <w:szCs w:val="24"/>
        </w:rPr>
        <w:t xml:space="preserve">For the LGBT Group – </w:t>
      </w:r>
      <w:r w:rsidRPr="006A68A4">
        <w:rPr>
          <w:rFonts w:asciiTheme="majorHAnsi" w:hAnsiTheme="majorHAnsi" w:cs="Times New Roman"/>
          <w:b/>
          <w:bCs/>
          <w:sz w:val="24"/>
          <w:szCs w:val="24"/>
        </w:rPr>
        <w:t>HUMSAFAR TRUST</w:t>
      </w:r>
      <w:r w:rsidRPr="006A68A4">
        <w:rPr>
          <w:rFonts w:asciiTheme="majorHAnsi" w:hAnsiTheme="majorHAnsi" w:cs="Times New Roman"/>
          <w:sz w:val="24"/>
          <w:szCs w:val="24"/>
        </w:rPr>
        <w:t xml:space="preserve"> in Mumbai – as aiming to establish community building, advocacy, health intervention work and to enhance human rights among the sexual minority population in Mumbai and beyond. The organization further attempts to establish ‘equal opportunities’ and basic freedom to the LGBT population, with regards to their sexuality, body and good (sexual and reproductive) health practices.</w:t>
      </w:r>
    </w:p>
    <w:p w:rsidR="006A68A4" w:rsidRPr="006A68A4" w:rsidRDefault="006A68A4" w:rsidP="006A68A4">
      <w:pPr>
        <w:pStyle w:val="ListParagraph"/>
        <w:spacing w:line="264" w:lineRule="auto"/>
        <w:jc w:val="both"/>
        <w:rPr>
          <w:rFonts w:asciiTheme="majorHAnsi" w:hAnsiTheme="majorHAnsi" w:cs="Times New Roman"/>
          <w:sz w:val="24"/>
          <w:szCs w:val="24"/>
        </w:rPr>
      </w:pPr>
    </w:p>
    <w:p w:rsidR="006A68A4" w:rsidRPr="006A68A4" w:rsidRDefault="006A68A4" w:rsidP="006A68A4">
      <w:pPr>
        <w:spacing w:line="264" w:lineRule="auto"/>
        <w:contextualSpacing/>
        <w:jc w:val="both"/>
        <w:rPr>
          <w:rFonts w:asciiTheme="majorHAnsi" w:hAnsiTheme="majorHAnsi" w:cs="Times New Roman"/>
          <w:b/>
          <w:bCs/>
          <w:iCs/>
          <w:sz w:val="24"/>
          <w:szCs w:val="24"/>
        </w:rPr>
      </w:pPr>
      <w:r w:rsidRPr="006A68A4">
        <w:rPr>
          <w:rFonts w:asciiTheme="majorHAnsi" w:hAnsiTheme="majorHAnsi" w:cs="Times New Roman"/>
          <w:b/>
          <w:bCs/>
          <w:iCs/>
          <w:sz w:val="24"/>
          <w:szCs w:val="24"/>
        </w:rPr>
        <w:t xml:space="preserve">Strategies, Guidelines and Flexibilities: City Model Plan </w:t>
      </w:r>
    </w:p>
    <w:p w:rsidR="006A68A4" w:rsidRPr="006A68A4" w:rsidRDefault="006A68A4" w:rsidP="006A68A4">
      <w:pPr>
        <w:spacing w:line="264" w:lineRule="auto"/>
        <w:contextualSpacing/>
        <w:jc w:val="both"/>
        <w:rPr>
          <w:rFonts w:asciiTheme="majorHAnsi" w:hAnsiTheme="majorHAnsi" w:cs="Times New Roman"/>
          <w:b/>
          <w:bCs/>
          <w:iCs/>
          <w:sz w:val="24"/>
          <w:szCs w:val="24"/>
        </w:rPr>
      </w:pPr>
    </w:p>
    <w:p w:rsidR="006A68A4" w:rsidRPr="006A68A4" w:rsidRDefault="006A68A4" w:rsidP="006A68A4">
      <w:pPr>
        <w:spacing w:line="264" w:lineRule="auto"/>
        <w:ind w:right="360"/>
        <w:contextualSpacing/>
        <w:jc w:val="both"/>
        <w:rPr>
          <w:rFonts w:asciiTheme="majorHAnsi" w:hAnsiTheme="majorHAnsi"/>
          <w:b/>
          <w:bCs/>
          <w:sz w:val="24"/>
          <w:szCs w:val="24"/>
        </w:rPr>
      </w:pPr>
      <w:r w:rsidRPr="006A68A4">
        <w:rPr>
          <w:rFonts w:asciiTheme="majorHAnsi" w:hAnsiTheme="majorHAnsi"/>
          <w:b/>
          <w:bCs/>
          <w:sz w:val="24"/>
          <w:szCs w:val="24"/>
        </w:rPr>
        <w:t xml:space="preserve">The Mumbai Model </w:t>
      </w:r>
    </w:p>
    <w:p w:rsidR="006A68A4" w:rsidRPr="006A68A4" w:rsidRDefault="006A68A4" w:rsidP="006A68A4">
      <w:pPr>
        <w:tabs>
          <w:tab w:val="left" w:pos="9360"/>
        </w:tabs>
        <w:spacing w:line="264" w:lineRule="auto"/>
        <w:contextualSpacing/>
        <w:jc w:val="both"/>
        <w:rPr>
          <w:rFonts w:asciiTheme="majorHAnsi" w:hAnsiTheme="majorHAnsi" w:cs="Times New Roman"/>
          <w:sz w:val="24"/>
          <w:szCs w:val="24"/>
        </w:rPr>
      </w:pPr>
      <w:r w:rsidRPr="006A68A4">
        <w:rPr>
          <w:rFonts w:asciiTheme="majorHAnsi" w:hAnsiTheme="majorHAnsi" w:cs="Times New Roman"/>
          <w:sz w:val="24"/>
          <w:szCs w:val="24"/>
        </w:rPr>
        <w:t xml:space="preserve">The Mumbai Municipal Development Corporation (MMDC) (2012) charts a classic example of public health model among the urban poor. With regards to their advocacy, governance and health care management, the MMDC projects accountable governance catering to the health care needs of the slum populations in Mumbai (see also, Karn, Sikura and Harada, 2003). </w:t>
      </w:r>
    </w:p>
    <w:p w:rsidR="006A68A4" w:rsidRPr="006A68A4" w:rsidRDefault="006A68A4" w:rsidP="006A68A4">
      <w:pPr>
        <w:spacing w:line="264" w:lineRule="auto"/>
        <w:ind w:right="360"/>
        <w:contextualSpacing/>
        <w:jc w:val="both"/>
        <w:rPr>
          <w:rFonts w:asciiTheme="majorHAnsi" w:hAnsiTheme="majorHAnsi" w:cs="Times New Roman"/>
          <w:sz w:val="24"/>
          <w:szCs w:val="24"/>
        </w:rPr>
      </w:pPr>
    </w:p>
    <w:p w:rsidR="006A68A4" w:rsidRPr="006A68A4" w:rsidRDefault="006A68A4" w:rsidP="006A68A4">
      <w:pPr>
        <w:spacing w:line="264" w:lineRule="auto"/>
        <w:contextualSpacing/>
        <w:jc w:val="both"/>
        <w:rPr>
          <w:rFonts w:asciiTheme="majorHAnsi" w:hAnsiTheme="majorHAnsi" w:cs="Times New Roman"/>
          <w:sz w:val="24"/>
          <w:szCs w:val="24"/>
        </w:rPr>
      </w:pPr>
      <w:r w:rsidRPr="006A68A4">
        <w:rPr>
          <w:rFonts w:asciiTheme="majorHAnsi" w:hAnsiTheme="majorHAnsi" w:cs="Times New Roman"/>
          <w:sz w:val="24"/>
          <w:szCs w:val="24"/>
        </w:rPr>
        <w:t>The city is divided administratively into 24 municipal wards, within which more than half the population live in slums. Broadly at the ward level, there is additional municipal commissioner, deputy zonal municipal commissioner and assistant commissioner which look for the administrative works at this level. Under these authorities, there are 3 assistant engineers for each maintenances, water works and buildings and factories.</w:t>
      </w:r>
    </w:p>
    <w:p w:rsidR="006A68A4" w:rsidRPr="006A68A4" w:rsidRDefault="006A68A4" w:rsidP="006A68A4">
      <w:pPr>
        <w:spacing w:line="264" w:lineRule="auto"/>
        <w:contextualSpacing/>
        <w:jc w:val="both"/>
        <w:rPr>
          <w:rFonts w:asciiTheme="majorHAnsi" w:hAnsiTheme="majorHAnsi" w:cs="Times New Roman"/>
          <w:sz w:val="24"/>
          <w:szCs w:val="24"/>
        </w:rPr>
      </w:pPr>
    </w:p>
    <w:p w:rsidR="006A68A4" w:rsidRPr="006A68A4" w:rsidRDefault="006A68A4" w:rsidP="006A68A4">
      <w:pPr>
        <w:spacing w:line="264" w:lineRule="auto"/>
        <w:contextualSpacing/>
        <w:jc w:val="both"/>
        <w:rPr>
          <w:rFonts w:asciiTheme="majorHAnsi" w:hAnsiTheme="majorHAnsi" w:cs="Times New Roman"/>
          <w:sz w:val="24"/>
          <w:szCs w:val="24"/>
        </w:rPr>
      </w:pPr>
      <w:r w:rsidRPr="006A68A4">
        <w:rPr>
          <w:rFonts w:asciiTheme="majorHAnsi" w:hAnsiTheme="majorHAnsi" w:cs="Times New Roman"/>
          <w:sz w:val="24"/>
          <w:szCs w:val="24"/>
          <w:lang w:val="en-IN"/>
        </w:rPr>
        <w:t xml:space="preserve">The MCGM Department is divided into zonal set-ups for administrative purposes. There are seven such zones, which cover 24 Wards. The Deputy Municipal Commissioner handles each zone. Each Ward has a separate Ward Office and the Ward Medical Officer of Health (MOH) which heads the Public Health Department in that Ward.  </w:t>
      </w:r>
      <w:r w:rsidRPr="006A68A4">
        <w:rPr>
          <w:rFonts w:asciiTheme="majorHAnsi" w:hAnsiTheme="majorHAnsi" w:cs="Times New Roman"/>
          <w:sz w:val="24"/>
          <w:szCs w:val="24"/>
        </w:rPr>
        <w:t xml:space="preserve">He is assisted by two assistant Medical Officers. There is separate staff for the major activities which are ‘surveillance’ ‘birth registration’ and ‘cemetery’. The staff for surveillance includes surveillance inspector, malaria investigator and treatment organizer. For birth registration there is birth registration karkoon. The staff for cemetery includes death registration karkoons, electric crematorium, mechanic, furnace operator, sweepers and attendant. Medical services are mainly provided by the dispensaries which are responsible for </w:t>
      </w:r>
      <w:r w:rsidRPr="006A68A4">
        <w:rPr>
          <w:rFonts w:asciiTheme="majorHAnsi" w:hAnsiTheme="majorHAnsi" w:cs="Times New Roman"/>
          <w:sz w:val="24"/>
          <w:szCs w:val="24"/>
        </w:rPr>
        <w:lastRenderedPageBreak/>
        <w:t>curative part and health posts which provide outreach services in the community. They have linkages with pest control department and ministry of prevention of food adulteration</w:t>
      </w:r>
    </w:p>
    <w:p w:rsidR="006A68A4" w:rsidRPr="006A68A4" w:rsidRDefault="006A68A4" w:rsidP="006A68A4">
      <w:pPr>
        <w:spacing w:line="264" w:lineRule="auto"/>
        <w:contextualSpacing/>
        <w:jc w:val="both"/>
        <w:rPr>
          <w:rFonts w:asciiTheme="majorHAnsi" w:hAnsiTheme="majorHAnsi" w:cs="Times New Roman"/>
          <w:sz w:val="24"/>
          <w:szCs w:val="24"/>
        </w:rPr>
      </w:pPr>
    </w:p>
    <w:p w:rsidR="006A68A4" w:rsidRPr="006A68A4" w:rsidRDefault="000C4AB7" w:rsidP="006A68A4">
      <w:pPr>
        <w:spacing w:line="264" w:lineRule="auto"/>
        <w:ind w:right="360"/>
        <w:contextualSpacing/>
        <w:jc w:val="both"/>
        <w:rPr>
          <w:rFonts w:asciiTheme="majorHAnsi" w:hAnsiTheme="majorHAnsi" w:cs="Times New Roman"/>
          <w:sz w:val="24"/>
          <w:szCs w:val="24"/>
        </w:rPr>
      </w:pPr>
      <w:r>
        <w:rPr>
          <w:rFonts w:asciiTheme="majorHAnsi" w:hAnsiTheme="majorHAnsi" w:cs="Times New Roman"/>
          <w:b/>
          <w:bCs/>
          <w:sz w:val="24"/>
          <w:szCs w:val="24"/>
          <w:lang w:val="en-IN"/>
        </w:rPr>
        <w:t>The Organisational profile</w:t>
      </w:r>
    </w:p>
    <w:p w:rsidR="006A68A4" w:rsidRDefault="006A68A4" w:rsidP="006A68A4">
      <w:pPr>
        <w:spacing w:line="264" w:lineRule="auto"/>
        <w:contextualSpacing/>
        <w:jc w:val="both"/>
        <w:rPr>
          <w:rFonts w:asciiTheme="majorHAnsi" w:hAnsiTheme="majorHAnsi" w:cs="Times New Roman"/>
          <w:sz w:val="24"/>
          <w:szCs w:val="24"/>
        </w:rPr>
      </w:pPr>
      <w:r w:rsidRPr="006A68A4">
        <w:rPr>
          <w:rFonts w:asciiTheme="majorHAnsi" w:hAnsiTheme="majorHAnsi" w:cs="Times New Roman"/>
          <w:sz w:val="24"/>
          <w:szCs w:val="24"/>
        </w:rPr>
        <w:t>The organization at this level consists of one medical officer, one public health nurse, three auxiliary nurse midwiferies, one female field worker, one male multipurpose worker (coordinator) &amp; 17 community health volunteers (MMDC, 2012).</w:t>
      </w:r>
    </w:p>
    <w:p w:rsidR="000C4AB7" w:rsidRPr="006A68A4" w:rsidRDefault="000C4AB7" w:rsidP="006A68A4">
      <w:pPr>
        <w:spacing w:line="264" w:lineRule="auto"/>
        <w:contextualSpacing/>
        <w:jc w:val="both"/>
        <w:rPr>
          <w:rFonts w:asciiTheme="majorHAnsi" w:hAnsiTheme="majorHAnsi" w:cs="Times New Roman"/>
          <w:sz w:val="24"/>
          <w:szCs w:val="24"/>
        </w:rPr>
      </w:pPr>
    </w:p>
    <w:p w:rsidR="006A68A4" w:rsidRPr="006A68A4" w:rsidRDefault="006A68A4" w:rsidP="006A68A4">
      <w:pPr>
        <w:spacing w:line="264" w:lineRule="auto"/>
        <w:contextualSpacing/>
        <w:jc w:val="both"/>
        <w:rPr>
          <w:rFonts w:asciiTheme="majorHAnsi" w:hAnsiTheme="majorHAnsi" w:cs="Times New Roman"/>
          <w:sz w:val="24"/>
          <w:szCs w:val="24"/>
        </w:rPr>
      </w:pPr>
    </w:p>
    <w:p w:rsidR="006A68A4" w:rsidRPr="006A68A4" w:rsidRDefault="00D20074" w:rsidP="006A68A4">
      <w:pPr>
        <w:pBdr>
          <w:top w:val="single" w:sz="4" w:space="1" w:color="auto"/>
          <w:left w:val="single" w:sz="4" w:space="4" w:color="auto"/>
          <w:bottom w:val="single" w:sz="4" w:space="1" w:color="auto"/>
          <w:right w:val="single" w:sz="4" w:space="4" w:color="auto"/>
        </w:pBdr>
        <w:spacing w:line="360" w:lineRule="auto"/>
        <w:jc w:val="both"/>
        <w:rPr>
          <w:rFonts w:asciiTheme="majorHAnsi" w:hAnsiTheme="majorHAnsi" w:cs="Times New Roman"/>
          <w:sz w:val="24"/>
          <w:szCs w:val="24"/>
        </w:rPr>
      </w:pPr>
      <w:r>
        <w:rPr>
          <w:rFonts w:asciiTheme="majorHAnsi" w:hAnsiTheme="majorHAnsi" w:cs="Times New Roman"/>
          <w:noProof/>
          <w:sz w:val="24"/>
          <w:szCs w:val="24"/>
        </w:rPr>
        <w:pict>
          <v:shapetype id="_x0000_t32" coordsize="21600,21600" o:spt="32" o:oned="t" path="m,l21600,21600e" filled="f">
            <v:path arrowok="t" fillok="f" o:connecttype="none"/>
            <o:lock v:ext="edit" shapetype="t"/>
          </v:shapetype>
          <v:shape id="Straight Arrow Connector 12" o:spid="_x0000_s1034" type="#_x0000_t32" style="position:absolute;left:0;text-align:left;margin-left:352.4pt;margin-top:14.55pt;width:.05pt;height:19.4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">
            <v:stroke endarrow="block"/>
          </v:shape>
        </w:pict>
      </w:r>
      <w:r>
        <w:rPr>
          <w:rFonts w:asciiTheme="majorHAnsi" w:hAnsiTheme="majorHAnsi" w:cs="Times New Roman"/>
          <w:noProof/>
          <w:sz w:val="24"/>
          <w:szCs w:val="24"/>
        </w:rPr>
        <w:pict>
          <v:shape id="Straight Arrow Connector 13" o:spid="_x0000_s1033" type="#_x0000_t32" style="position:absolute;left:0;text-align:left;margin-left:98.9pt;margin-top:9.75pt;width:15.5pt;height: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">
            <v:stroke endarrow="block"/>
          </v:shape>
        </w:pict>
      </w:r>
      <w:r>
        <w:rPr>
          <w:rFonts w:asciiTheme="majorHAnsi" w:hAnsiTheme="majorHAnsi" w:cs="Times New Roman"/>
          <w:noProof/>
          <w:sz w:val="24"/>
          <w:szCs w:val="24"/>
        </w:rPr>
        <w:pict>
          <v:shape id="Straight Arrow Connector 14" o:spid="_x0000_s1032" type="#_x0000_t32" style="position:absolute;left:0;text-align:left;margin-left:251.65pt;margin-top:9.8pt;width:20.85pt;height: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">
            <v:stroke endarrow="block"/>
          </v:shape>
        </w:pict>
      </w:r>
      <w:r w:rsidR="006A68A4" w:rsidRPr="006A68A4">
        <w:rPr>
          <w:rFonts w:asciiTheme="majorHAnsi" w:hAnsiTheme="majorHAnsi" w:cs="Times New Roman"/>
          <w:sz w:val="24"/>
          <w:szCs w:val="24"/>
        </w:rPr>
        <w:t>MEDICAL OFFICER        PUBLIC HEALTH NURSE              3 AUXILLARY MIDWIFES</w:t>
      </w:r>
    </w:p>
    <w:p w:rsidR="006A68A4" w:rsidRPr="006A68A4" w:rsidRDefault="00D20074" w:rsidP="006A68A4">
      <w:pPr>
        <w:pBdr>
          <w:top w:val="single" w:sz="4" w:space="1" w:color="auto"/>
          <w:left w:val="single" w:sz="4" w:space="4" w:color="auto"/>
          <w:bottom w:val="single" w:sz="4" w:space="1" w:color="auto"/>
          <w:right w:val="single" w:sz="4" w:space="4" w:color="auto"/>
        </w:pBdr>
        <w:spacing w:line="360" w:lineRule="auto"/>
        <w:jc w:val="both"/>
        <w:rPr>
          <w:rFonts w:asciiTheme="majorHAnsi" w:hAnsiTheme="majorHAnsi" w:cs="Times New Roman"/>
          <w:sz w:val="24"/>
          <w:szCs w:val="24"/>
        </w:rPr>
      </w:pPr>
      <w:r>
        <w:rPr>
          <w:rFonts w:asciiTheme="majorHAnsi" w:hAnsiTheme="majorHAnsi" w:cs="Times New Roman"/>
          <w:noProof/>
          <w:sz w:val="24"/>
          <w:szCs w:val="24"/>
        </w:rPr>
        <w:pict>
          <v:shape id="Straight Arrow Connector 11" o:spid="_x0000_s1031" type="#_x0000_t32" style="position:absolute;left:0;text-align:left;margin-left:162.15pt;margin-top:11.8pt;width:.1pt;height:19.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">
            <v:stroke endarrow="block"/>
          </v:shape>
        </w:pict>
      </w:r>
      <w:r w:rsidR="006A68A4" w:rsidRPr="006A68A4">
        <w:rPr>
          <w:rFonts w:asciiTheme="majorHAnsi" w:hAnsiTheme="majorHAnsi" w:cs="Times New Roman"/>
          <w:sz w:val="24"/>
          <w:szCs w:val="24"/>
        </w:rPr>
        <w:t xml:space="preserve">                         1 MULTIPURPOSE WORKER and 1 FEMALE FIELD VISITOR</w:t>
      </w:r>
    </w:p>
    <w:p w:rsidR="006A68A4" w:rsidRPr="006A68A4" w:rsidRDefault="00D20074" w:rsidP="006A68A4">
      <w:pPr>
        <w:pBdr>
          <w:top w:val="single" w:sz="4" w:space="1" w:color="auto"/>
          <w:left w:val="single" w:sz="4" w:space="4" w:color="auto"/>
          <w:bottom w:val="single" w:sz="4" w:space="1" w:color="auto"/>
          <w:right w:val="single" w:sz="4" w:space="4" w:color="auto"/>
        </w:pBdr>
        <w:tabs>
          <w:tab w:val="left" w:pos="5459"/>
        </w:tabs>
        <w:spacing w:line="360" w:lineRule="auto"/>
        <w:jc w:val="both"/>
        <w:rPr>
          <w:rFonts w:asciiTheme="majorHAnsi" w:hAnsiTheme="majorHAnsi" w:cs="Times New Roman"/>
          <w:sz w:val="24"/>
          <w:szCs w:val="24"/>
        </w:rPr>
      </w:pPr>
      <w:r>
        <w:rPr>
          <w:rFonts w:asciiTheme="majorHAnsi" w:hAnsiTheme="majorHAnsi" w:cs="Times New Roman"/>
          <w:noProof/>
          <w:sz w:val="24"/>
          <w:szCs w:val="24"/>
        </w:rPr>
        <w:pict>
          <v:shape id="Straight Arrow Connector 6" o:spid="_x0000_s1030" type="#_x0000_t32" style="position:absolute;left:0;text-align:left;margin-left:161.85pt;margin-top:11.9pt;width:0;height:17.8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">
            <v:stroke endarrow="block"/>
          </v:shape>
        </w:pict>
      </w:r>
      <w:r w:rsidR="006A68A4" w:rsidRPr="006A68A4">
        <w:rPr>
          <w:rFonts w:asciiTheme="majorHAnsi" w:hAnsiTheme="majorHAnsi" w:cs="Times New Roman"/>
          <w:sz w:val="24"/>
          <w:szCs w:val="24"/>
        </w:rPr>
        <w:t xml:space="preserve">                  17 COMMUNITY HEALTH VOLUNTEERS</w:t>
      </w:r>
      <w:r w:rsidR="006A68A4">
        <w:rPr>
          <w:rFonts w:asciiTheme="majorHAnsi" w:hAnsiTheme="majorHAnsi" w:cs="Times New Roman"/>
          <w:sz w:val="24"/>
          <w:szCs w:val="24"/>
        </w:rPr>
        <w:tab/>
      </w:r>
    </w:p>
    <w:p w:rsidR="006A68A4" w:rsidRPr="006A68A4" w:rsidRDefault="006A68A4" w:rsidP="006A68A4">
      <w:pPr>
        <w:pBdr>
          <w:top w:val="single" w:sz="4" w:space="1" w:color="auto"/>
          <w:left w:val="single" w:sz="4" w:space="4" w:color="auto"/>
          <w:bottom w:val="single" w:sz="4" w:space="1" w:color="auto"/>
          <w:right w:val="single" w:sz="4" w:space="4" w:color="auto"/>
        </w:pBdr>
        <w:spacing w:line="360" w:lineRule="auto"/>
        <w:jc w:val="both"/>
        <w:rPr>
          <w:rFonts w:asciiTheme="majorHAnsi" w:hAnsiTheme="majorHAnsi" w:cs="Times New Roman"/>
          <w:sz w:val="24"/>
          <w:szCs w:val="24"/>
          <w:lang w:val="en-IN"/>
        </w:rPr>
      </w:pPr>
      <w:r w:rsidRPr="006A68A4">
        <w:rPr>
          <w:rFonts w:asciiTheme="majorHAnsi" w:hAnsiTheme="majorHAnsi" w:cs="Times New Roman"/>
          <w:sz w:val="24"/>
          <w:szCs w:val="24"/>
          <w:lang w:val="en-IN"/>
        </w:rPr>
        <w:t xml:space="preserve">               1 CLERK and 1 HEALTH POST ATTENDANT</w:t>
      </w:r>
    </w:p>
    <w:p w:rsidR="006A68A4" w:rsidRPr="006A68A4" w:rsidRDefault="006A68A4" w:rsidP="006A68A4">
      <w:pPr>
        <w:spacing w:line="264" w:lineRule="auto"/>
        <w:ind w:right="360"/>
        <w:contextualSpacing/>
        <w:jc w:val="both"/>
        <w:rPr>
          <w:rFonts w:asciiTheme="majorHAnsi" w:hAnsiTheme="majorHAnsi" w:cs="Times New Roman"/>
          <w:sz w:val="24"/>
          <w:szCs w:val="24"/>
        </w:rPr>
      </w:pPr>
      <w:r w:rsidRPr="006A68A4">
        <w:rPr>
          <w:rFonts w:asciiTheme="majorHAnsi" w:hAnsiTheme="majorHAnsi" w:cs="Times New Roman"/>
          <w:sz w:val="24"/>
          <w:szCs w:val="24"/>
        </w:rPr>
        <w:t xml:space="preserve"> (Source: MMDC, 2012).</w:t>
      </w:r>
    </w:p>
    <w:p w:rsidR="006A68A4" w:rsidRPr="006A68A4" w:rsidRDefault="006A68A4" w:rsidP="006A68A4">
      <w:pPr>
        <w:spacing w:line="264" w:lineRule="auto"/>
        <w:ind w:right="360"/>
        <w:contextualSpacing/>
        <w:jc w:val="both"/>
        <w:rPr>
          <w:rFonts w:asciiTheme="majorHAnsi" w:hAnsiTheme="majorHAnsi" w:cs="Times New Roman"/>
          <w:sz w:val="24"/>
          <w:szCs w:val="24"/>
        </w:rPr>
      </w:pPr>
    </w:p>
    <w:p w:rsidR="006A68A4" w:rsidRPr="006A68A4" w:rsidRDefault="006A68A4" w:rsidP="006A68A4">
      <w:pPr>
        <w:spacing w:after="120" w:line="264" w:lineRule="auto"/>
        <w:contextualSpacing/>
        <w:jc w:val="both"/>
        <w:rPr>
          <w:rFonts w:asciiTheme="majorHAnsi" w:hAnsiTheme="majorHAnsi"/>
          <w:sz w:val="24"/>
          <w:szCs w:val="24"/>
          <w:u w:val="single"/>
        </w:rPr>
      </w:pPr>
      <w:r w:rsidRPr="006A68A4">
        <w:rPr>
          <w:rFonts w:asciiTheme="majorHAnsi" w:hAnsiTheme="majorHAnsi"/>
          <w:b/>
          <w:sz w:val="24"/>
          <w:szCs w:val="24"/>
          <w:u w:val="single"/>
        </w:rPr>
        <w:t>Women’s Participation in Kerala</w:t>
      </w:r>
    </w:p>
    <w:p w:rsidR="006A68A4" w:rsidRPr="006A68A4" w:rsidRDefault="006A68A4" w:rsidP="006A68A4">
      <w:pPr>
        <w:spacing w:after="120" w:line="264" w:lineRule="auto"/>
        <w:contextualSpacing/>
        <w:jc w:val="both"/>
        <w:rPr>
          <w:rFonts w:asciiTheme="majorHAnsi" w:hAnsiTheme="majorHAnsi"/>
          <w:sz w:val="24"/>
          <w:szCs w:val="24"/>
        </w:rPr>
      </w:pPr>
      <w:r w:rsidRPr="006A68A4">
        <w:rPr>
          <w:rFonts w:asciiTheme="majorHAnsi" w:hAnsiTheme="majorHAnsi"/>
          <w:sz w:val="24"/>
          <w:szCs w:val="24"/>
        </w:rPr>
        <w:t xml:space="preserve">The municipalities of Kerala adopt a decentralized and innovative citizen-driven approach to identify and target families amongst the urban poor for entitlement programs. There are 3 tired network arrangements within each of these corporations that are classified as, 1. Neighbourhood Group (NHG), 2. Area Development Society (ADS) and 3. Community Development Society. These families in the urban setting are mobilized in the NHG, those of which are represented by a woman. These NHGs comes into the ADGs that broadly build into the Community Development Society. </w:t>
      </w:r>
    </w:p>
    <w:p w:rsidR="006A68A4" w:rsidRPr="006A68A4" w:rsidRDefault="006A68A4" w:rsidP="006A68A4">
      <w:pPr>
        <w:spacing w:after="120" w:line="264" w:lineRule="auto"/>
        <w:contextualSpacing/>
        <w:jc w:val="both"/>
        <w:rPr>
          <w:rFonts w:asciiTheme="majorHAnsi" w:hAnsiTheme="majorHAnsi"/>
          <w:sz w:val="24"/>
          <w:szCs w:val="24"/>
        </w:rPr>
      </w:pPr>
    </w:p>
    <w:p w:rsidR="006A68A4" w:rsidRPr="006A68A4" w:rsidRDefault="006A68A4" w:rsidP="006A68A4">
      <w:pPr>
        <w:spacing w:after="120" w:line="264" w:lineRule="auto"/>
        <w:contextualSpacing/>
        <w:jc w:val="both"/>
        <w:rPr>
          <w:rFonts w:asciiTheme="majorHAnsi" w:hAnsiTheme="majorHAnsi"/>
          <w:sz w:val="24"/>
          <w:szCs w:val="24"/>
        </w:rPr>
      </w:pPr>
      <w:r w:rsidRPr="006A68A4">
        <w:rPr>
          <w:rFonts w:asciiTheme="majorHAnsi" w:hAnsiTheme="majorHAnsi"/>
          <w:sz w:val="24"/>
          <w:szCs w:val="24"/>
        </w:rPr>
        <w:t xml:space="preserve">Women volunteers are employed to oversee these groups with regards to the development processes of the infrastructural, education, civic amenities and health structure of the region. In one hand, the Kerala Model demonstrates women’s participation and empowerment in understanding gender equality programs in the State level. And on the other, this model also projects anti-poverty Sub Plan for the Kerala state (Saxena Report, 2012). </w:t>
      </w:r>
    </w:p>
    <w:p w:rsidR="006A68A4" w:rsidRPr="006A68A4" w:rsidRDefault="006A68A4" w:rsidP="006A68A4">
      <w:pPr>
        <w:spacing w:after="120" w:line="264" w:lineRule="auto"/>
        <w:contextualSpacing/>
        <w:jc w:val="both"/>
        <w:rPr>
          <w:rFonts w:asciiTheme="majorHAnsi" w:hAnsiTheme="majorHAnsi"/>
          <w:sz w:val="24"/>
          <w:szCs w:val="24"/>
        </w:rPr>
      </w:pPr>
    </w:p>
    <w:p w:rsidR="006A68A4" w:rsidRPr="006A68A4" w:rsidRDefault="006A68A4" w:rsidP="006A68A4">
      <w:pPr>
        <w:spacing w:after="120" w:line="264" w:lineRule="auto"/>
        <w:contextualSpacing/>
        <w:jc w:val="both"/>
        <w:rPr>
          <w:rFonts w:asciiTheme="majorHAnsi" w:hAnsiTheme="majorHAnsi"/>
          <w:b/>
          <w:sz w:val="24"/>
          <w:szCs w:val="24"/>
          <w:u w:val="single"/>
        </w:rPr>
      </w:pPr>
      <w:r w:rsidRPr="006A68A4">
        <w:rPr>
          <w:rFonts w:asciiTheme="majorHAnsi" w:hAnsiTheme="majorHAnsi"/>
          <w:b/>
          <w:sz w:val="24"/>
          <w:szCs w:val="24"/>
          <w:u w:val="single"/>
        </w:rPr>
        <w:t xml:space="preserve">The Tamil Nadu Model- People’s participation in building Drainage Systems </w:t>
      </w:r>
    </w:p>
    <w:p w:rsidR="006A68A4" w:rsidRPr="006A68A4" w:rsidRDefault="006A68A4" w:rsidP="006A68A4">
      <w:pPr>
        <w:spacing w:after="120" w:line="264" w:lineRule="auto"/>
        <w:contextualSpacing/>
        <w:jc w:val="both"/>
        <w:rPr>
          <w:rFonts w:asciiTheme="majorHAnsi" w:hAnsiTheme="majorHAnsi"/>
          <w:bCs/>
          <w:sz w:val="24"/>
          <w:szCs w:val="24"/>
        </w:rPr>
      </w:pPr>
      <w:r w:rsidRPr="006A68A4">
        <w:rPr>
          <w:rFonts w:asciiTheme="majorHAnsi" w:hAnsiTheme="majorHAnsi"/>
          <w:bCs/>
          <w:sz w:val="24"/>
          <w:szCs w:val="24"/>
        </w:rPr>
        <w:t xml:space="preserve">The Alandur model of TN demonstrates a classic example of citizen’s participation in the infrastructural development of the society. This model talks about the construction of sewage management and effective drainage system in Alandur that runs 120 km long. This project of establishing sewage management plant is directly dependent on citizens’ participation, whereby the local people inhabiting the town –rich, as well as poor has </w:t>
      </w:r>
      <w:r w:rsidRPr="006A68A4">
        <w:rPr>
          <w:rFonts w:asciiTheme="majorHAnsi" w:hAnsiTheme="majorHAnsi"/>
          <w:bCs/>
          <w:sz w:val="24"/>
          <w:szCs w:val="24"/>
        </w:rPr>
        <w:lastRenderedPageBreak/>
        <w:t xml:space="preserve">contributed monthly as user charges for the development and maintenance of the project. These efforts showcases as how progressive Municipal corporations with robust accountability, transparency and with democratic principles, could build improved urban health setups (Saxena Report, 2012; NUHM Framework, 2012). </w:t>
      </w:r>
    </w:p>
    <w:p w:rsidR="006A68A4" w:rsidRPr="006A68A4" w:rsidRDefault="006A68A4" w:rsidP="006A68A4">
      <w:pPr>
        <w:spacing w:after="120" w:line="264" w:lineRule="auto"/>
        <w:contextualSpacing/>
        <w:jc w:val="both"/>
        <w:rPr>
          <w:rFonts w:asciiTheme="majorHAnsi" w:hAnsiTheme="majorHAnsi"/>
          <w:bCs/>
          <w:sz w:val="24"/>
          <w:szCs w:val="24"/>
        </w:rPr>
      </w:pPr>
    </w:p>
    <w:p w:rsidR="006A68A4" w:rsidRDefault="006A68A4" w:rsidP="006A68A4">
      <w:pPr>
        <w:spacing w:after="120" w:line="264" w:lineRule="auto"/>
        <w:contextualSpacing/>
        <w:jc w:val="both"/>
        <w:rPr>
          <w:rFonts w:asciiTheme="majorHAnsi" w:hAnsiTheme="majorHAnsi"/>
          <w:bCs/>
          <w:sz w:val="24"/>
          <w:szCs w:val="24"/>
        </w:rPr>
      </w:pPr>
    </w:p>
    <w:p w:rsidR="000C4AB7" w:rsidRDefault="000C4AB7" w:rsidP="006A68A4">
      <w:pPr>
        <w:spacing w:after="120" w:line="264" w:lineRule="auto"/>
        <w:contextualSpacing/>
        <w:jc w:val="both"/>
        <w:rPr>
          <w:rFonts w:asciiTheme="majorHAnsi" w:hAnsiTheme="majorHAnsi"/>
          <w:bCs/>
          <w:sz w:val="24"/>
          <w:szCs w:val="24"/>
        </w:rPr>
      </w:pPr>
    </w:p>
    <w:p w:rsidR="000C4AB7" w:rsidRPr="006A68A4" w:rsidRDefault="000C4AB7" w:rsidP="006A68A4">
      <w:pPr>
        <w:spacing w:after="120" w:line="264" w:lineRule="auto"/>
        <w:contextualSpacing/>
        <w:jc w:val="both"/>
        <w:rPr>
          <w:rFonts w:asciiTheme="majorHAnsi" w:hAnsiTheme="majorHAnsi"/>
          <w:bCs/>
          <w:sz w:val="24"/>
          <w:szCs w:val="24"/>
        </w:rPr>
      </w:pPr>
    </w:p>
    <w:p w:rsidR="006A68A4" w:rsidRDefault="006A68A4" w:rsidP="006A68A4">
      <w:pPr>
        <w:spacing w:line="264" w:lineRule="auto"/>
        <w:contextualSpacing/>
        <w:jc w:val="both"/>
        <w:rPr>
          <w:rFonts w:asciiTheme="majorHAnsi" w:hAnsiTheme="majorHAnsi"/>
          <w:b/>
          <w:iCs/>
          <w:sz w:val="24"/>
          <w:szCs w:val="24"/>
        </w:rPr>
      </w:pPr>
      <w:r>
        <w:rPr>
          <w:rFonts w:asciiTheme="majorHAnsi" w:hAnsiTheme="majorHAnsi"/>
          <w:b/>
          <w:iCs/>
          <w:sz w:val="24"/>
          <w:szCs w:val="24"/>
        </w:rPr>
        <w:t xml:space="preserve">References </w:t>
      </w:r>
    </w:p>
    <w:p w:rsidR="006A68A4" w:rsidRPr="006A68A4" w:rsidRDefault="006A68A4" w:rsidP="006A68A4">
      <w:pPr>
        <w:spacing w:line="264" w:lineRule="auto"/>
        <w:contextualSpacing/>
        <w:jc w:val="both"/>
        <w:rPr>
          <w:rFonts w:asciiTheme="majorHAnsi" w:hAnsiTheme="majorHAnsi"/>
          <w:b/>
          <w:iCs/>
          <w:sz w:val="24"/>
          <w:szCs w:val="24"/>
        </w:rPr>
      </w:pPr>
    </w:p>
    <w:p w:rsidR="006A68A4" w:rsidRPr="00E242EB" w:rsidRDefault="006A68A4" w:rsidP="00E242EB">
      <w:pPr>
        <w:pStyle w:val="ListParagraph"/>
        <w:numPr>
          <w:ilvl w:val="0"/>
          <w:numId w:val="28"/>
        </w:numPr>
        <w:spacing w:line="264" w:lineRule="auto"/>
        <w:jc w:val="both"/>
        <w:rPr>
          <w:rFonts w:asciiTheme="majorHAnsi" w:hAnsiTheme="majorHAnsi"/>
          <w:szCs w:val="24"/>
        </w:rPr>
      </w:pPr>
      <w:r w:rsidRPr="00E242EB">
        <w:rPr>
          <w:rFonts w:asciiTheme="majorHAnsi" w:hAnsiTheme="majorHAnsi"/>
          <w:szCs w:val="24"/>
        </w:rPr>
        <w:t xml:space="preserve">Aggarwal, B. 2013. Gender Command Over Poverty: A Critical gap in Economic Analysis and Policy in South Asia. </w:t>
      </w:r>
      <w:r w:rsidRPr="00E242EB">
        <w:rPr>
          <w:rFonts w:asciiTheme="majorHAnsi" w:hAnsiTheme="majorHAnsi"/>
          <w:i/>
          <w:iCs/>
          <w:szCs w:val="24"/>
        </w:rPr>
        <w:t>World Development</w:t>
      </w:r>
      <w:r w:rsidRPr="00E242EB">
        <w:rPr>
          <w:rFonts w:asciiTheme="majorHAnsi" w:hAnsiTheme="majorHAnsi"/>
          <w:szCs w:val="24"/>
        </w:rPr>
        <w:t xml:space="preserve">. Vol. 22 (10). </w:t>
      </w:r>
    </w:p>
    <w:p w:rsidR="006A68A4" w:rsidRPr="00E242EB" w:rsidRDefault="006A68A4" w:rsidP="00E242EB">
      <w:pPr>
        <w:pStyle w:val="ListParagraph"/>
        <w:numPr>
          <w:ilvl w:val="0"/>
          <w:numId w:val="28"/>
        </w:numPr>
        <w:spacing w:line="264" w:lineRule="auto"/>
        <w:jc w:val="both"/>
        <w:rPr>
          <w:rFonts w:asciiTheme="majorHAnsi" w:hAnsiTheme="majorHAnsi"/>
          <w:szCs w:val="24"/>
        </w:rPr>
      </w:pPr>
      <w:r w:rsidRPr="00E242EB">
        <w:rPr>
          <w:rFonts w:asciiTheme="majorHAnsi" w:hAnsiTheme="majorHAnsi"/>
          <w:szCs w:val="24"/>
        </w:rPr>
        <w:t xml:space="preserve">Aggarwal, S. 2010. The State of urban health in India; comparing the poorest quartile to the rest of the urban Population in Selected States and the Cities. </w:t>
      </w:r>
      <w:r w:rsidRPr="00E242EB">
        <w:rPr>
          <w:rFonts w:asciiTheme="majorHAnsi" w:hAnsiTheme="majorHAnsi"/>
          <w:i/>
          <w:iCs/>
          <w:szCs w:val="24"/>
        </w:rPr>
        <w:t>Environment and urbanization Journal</w:t>
      </w:r>
      <w:r w:rsidRPr="00E242EB">
        <w:rPr>
          <w:rFonts w:asciiTheme="majorHAnsi" w:hAnsiTheme="majorHAnsi"/>
          <w:szCs w:val="24"/>
        </w:rPr>
        <w:t>. Vol. 23. No. 1.</w:t>
      </w:r>
    </w:p>
    <w:p w:rsidR="006A68A4" w:rsidRPr="00E242EB" w:rsidRDefault="006A68A4" w:rsidP="00E242EB">
      <w:pPr>
        <w:pStyle w:val="ListParagraph"/>
        <w:numPr>
          <w:ilvl w:val="0"/>
          <w:numId w:val="28"/>
        </w:numPr>
        <w:spacing w:line="264" w:lineRule="auto"/>
        <w:jc w:val="both"/>
        <w:rPr>
          <w:rFonts w:asciiTheme="majorHAnsi" w:hAnsiTheme="majorHAnsi"/>
          <w:szCs w:val="24"/>
        </w:rPr>
      </w:pPr>
      <w:r w:rsidRPr="00E242EB">
        <w:rPr>
          <w:rFonts w:asciiTheme="majorHAnsi" w:hAnsiTheme="majorHAnsi"/>
          <w:szCs w:val="24"/>
        </w:rPr>
        <w:t>Arora, R. S Neogi and M Mishra. 202011. Innovative Ways to Meet Health challenges of urban India. Pub: PHFI.</w:t>
      </w:r>
    </w:p>
    <w:p w:rsidR="006A68A4" w:rsidRPr="00E242EB" w:rsidRDefault="006A68A4" w:rsidP="00E242EB">
      <w:pPr>
        <w:pStyle w:val="ListParagraph"/>
        <w:numPr>
          <w:ilvl w:val="0"/>
          <w:numId w:val="28"/>
        </w:numPr>
        <w:spacing w:line="264" w:lineRule="auto"/>
        <w:jc w:val="both"/>
        <w:rPr>
          <w:rFonts w:asciiTheme="majorHAnsi" w:hAnsiTheme="majorHAnsi"/>
          <w:i/>
          <w:iCs/>
          <w:szCs w:val="24"/>
        </w:rPr>
      </w:pPr>
      <w:r w:rsidRPr="00E242EB">
        <w:rPr>
          <w:rFonts w:asciiTheme="majorHAnsi" w:hAnsiTheme="majorHAnsi"/>
          <w:szCs w:val="24"/>
        </w:rPr>
        <w:t xml:space="preserve">Chaudhary, s., A Joseph and I P Singh. Homeless Women and Violence. </w:t>
      </w:r>
      <w:r w:rsidRPr="00E242EB">
        <w:rPr>
          <w:rFonts w:asciiTheme="majorHAnsi" w:hAnsiTheme="majorHAnsi"/>
          <w:i/>
          <w:iCs/>
          <w:szCs w:val="24"/>
        </w:rPr>
        <w:t xml:space="preserve">CEQUIN. </w:t>
      </w:r>
    </w:p>
    <w:p w:rsidR="006A68A4" w:rsidRPr="00E242EB" w:rsidRDefault="006A68A4" w:rsidP="00E242EB">
      <w:pPr>
        <w:pStyle w:val="ListParagraph"/>
        <w:numPr>
          <w:ilvl w:val="0"/>
          <w:numId w:val="28"/>
        </w:numPr>
        <w:spacing w:line="264" w:lineRule="auto"/>
        <w:jc w:val="both"/>
        <w:rPr>
          <w:rFonts w:asciiTheme="majorHAnsi" w:hAnsiTheme="majorHAnsi"/>
          <w:szCs w:val="24"/>
        </w:rPr>
      </w:pPr>
      <w:r w:rsidRPr="00E242EB">
        <w:rPr>
          <w:rFonts w:asciiTheme="majorHAnsi" w:hAnsiTheme="majorHAnsi"/>
          <w:szCs w:val="24"/>
        </w:rPr>
        <w:t xml:space="preserve">Dasgupta, R and R. Bhist. 2010. The Missing Mission in Health. </w:t>
      </w:r>
      <w:r w:rsidRPr="00E242EB">
        <w:rPr>
          <w:rFonts w:asciiTheme="majorHAnsi" w:hAnsiTheme="majorHAnsi"/>
          <w:i/>
          <w:iCs/>
          <w:szCs w:val="24"/>
        </w:rPr>
        <w:t>EPW</w:t>
      </w:r>
      <w:r w:rsidRPr="00E242EB">
        <w:rPr>
          <w:rFonts w:asciiTheme="majorHAnsi" w:hAnsiTheme="majorHAnsi"/>
          <w:szCs w:val="24"/>
        </w:rPr>
        <w:t>. Vol. XLV. No. 6.</w:t>
      </w:r>
    </w:p>
    <w:p w:rsidR="006A68A4" w:rsidRPr="00E242EB" w:rsidRDefault="006A68A4" w:rsidP="00E242EB">
      <w:pPr>
        <w:pStyle w:val="ListParagraph"/>
        <w:numPr>
          <w:ilvl w:val="0"/>
          <w:numId w:val="28"/>
        </w:numPr>
        <w:spacing w:line="264" w:lineRule="auto"/>
        <w:jc w:val="both"/>
        <w:rPr>
          <w:rFonts w:asciiTheme="majorHAnsi" w:hAnsiTheme="majorHAnsi"/>
          <w:szCs w:val="24"/>
        </w:rPr>
      </w:pPr>
      <w:r w:rsidRPr="00E242EB">
        <w:rPr>
          <w:rFonts w:asciiTheme="majorHAnsi" w:hAnsiTheme="majorHAnsi"/>
          <w:szCs w:val="24"/>
        </w:rPr>
        <w:t xml:space="preserve">Gupta, K, F Arnold and H Lhungdim. 2009. Health and Living Conditions in Eight Indian Cities. MOHFW Pub. </w:t>
      </w:r>
    </w:p>
    <w:p w:rsidR="006A68A4" w:rsidRPr="00E242EB" w:rsidRDefault="006A68A4" w:rsidP="00E242EB">
      <w:pPr>
        <w:pStyle w:val="ListParagraph"/>
        <w:numPr>
          <w:ilvl w:val="0"/>
          <w:numId w:val="28"/>
        </w:numPr>
        <w:spacing w:line="264" w:lineRule="auto"/>
        <w:jc w:val="both"/>
        <w:rPr>
          <w:rFonts w:asciiTheme="majorHAnsi" w:hAnsiTheme="majorHAnsi"/>
          <w:szCs w:val="24"/>
        </w:rPr>
      </w:pPr>
      <w:r w:rsidRPr="00E242EB">
        <w:rPr>
          <w:rFonts w:asciiTheme="majorHAnsi" w:hAnsiTheme="majorHAnsi"/>
          <w:szCs w:val="24"/>
        </w:rPr>
        <w:t xml:space="preserve">HASHIM, H R and Others. 2012. Report of the Expert Group to Recommend The Detailed Methodology for Identification of Families Living Below Poverty Line In the Urban Areas. Pub: Planning Commission, GOI. </w:t>
      </w:r>
    </w:p>
    <w:p w:rsidR="006A68A4" w:rsidRPr="00E242EB" w:rsidRDefault="006A68A4" w:rsidP="00E242EB">
      <w:pPr>
        <w:pStyle w:val="ListParagraph"/>
        <w:numPr>
          <w:ilvl w:val="0"/>
          <w:numId w:val="28"/>
        </w:numPr>
        <w:spacing w:line="264" w:lineRule="auto"/>
        <w:jc w:val="both"/>
        <w:rPr>
          <w:rFonts w:asciiTheme="majorHAnsi" w:hAnsiTheme="majorHAnsi"/>
          <w:szCs w:val="24"/>
        </w:rPr>
      </w:pPr>
      <w:r w:rsidRPr="00E242EB">
        <w:rPr>
          <w:rFonts w:asciiTheme="majorHAnsi" w:hAnsiTheme="majorHAnsi"/>
          <w:szCs w:val="24"/>
        </w:rPr>
        <w:t xml:space="preserve">Karn, S K., S Shikura and H Harda. 2003. Living Environment and Health of the Urban Poor: A Study of Mumbai. </w:t>
      </w:r>
      <w:r w:rsidRPr="00E242EB">
        <w:rPr>
          <w:rFonts w:asciiTheme="majorHAnsi" w:hAnsiTheme="majorHAnsi"/>
          <w:i/>
          <w:iCs/>
          <w:szCs w:val="24"/>
        </w:rPr>
        <w:t>EPW.</w:t>
      </w:r>
    </w:p>
    <w:p w:rsidR="006A68A4" w:rsidRPr="00E242EB" w:rsidRDefault="006A68A4" w:rsidP="00E242EB">
      <w:pPr>
        <w:pStyle w:val="ListParagraph"/>
        <w:numPr>
          <w:ilvl w:val="0"/>
          <w:numId w:val="28"/>
        </w:numPr>
        <w:spacing w:line="264" w:lineRule="auto"/>
        <w:jc w:val="both"/>
        <w:rPr>
          <w:rFonts w:asciiTheme="majorHAnsi" w:hAnsiTheme="majorHAnsi"/>
          <w:szCs w:val="24"/>
        </w:rPr>
      </w:pPr>
      <w:r w:rsidRPr="00E242EB">
        <w:rPr>
          <w:rFonts w:asciiTheme="majorHAnsi" w:hAnsiTheme="majorHAnsi"/>
          <w:szCs w:val="24"/>
        </w:rPr>
        <w:t xml:space="preserve">Malhotra, S. 2010. Population health Through Inclusion urban Planning: healthier Communities and Sustainable Urban Development in Indian Cities. </w:t>
      </w:r>
      <w:r w:rsidRPr="00E242EB">
        <w:rPr>
          <w:rFonts w:asciiTheme="majorHAnsi" w:hAnsiTheme="majorHAnsi"/>
          <w:i/>
          <w:iCs/>
          <w:szCs w:val="24"/>
        </w:rPr>
        <w:t>Sustainable Development, Law and Policy Journal.</w:t>
      </w:r>
      <w:r w:rsidRPr="00E242EB">
        <w:rPr>
          <w:rFonts w:asciiTheme="majorHAnsi" w:hAnsiTheme="majorHAnsi"/>
          <w:szCs w:val="24"/>
        </w:rPr>
        <w:t xml:space="preserve"> Vol. 11, Issue 1. </w:t>
      </w:r>
    </w:p>
    <w:p w:rsidR="006A68A4" w:rsidRPr="00E242EB" w:rsidRDefault="006A68A4" w:rsidP="00E242EB">
      <w:pPr>
        <w:pStyle w:val="ListParagraph"/>
        <w:numPr>
          <w:ilvl w:val="0"/>
          <w:numId w:val="28"/>
        </w:numPr>
        <w:spacing w:line="264" w:lineRule="auto"/>
        <w:jc w:val="both"/>
        <w:rPr>
          <w:rFonts w:asciiTheme="majorHAnsi" w:hAnsiTheme="majorHAnsi"/>
          <w:szCs w:val="24"/>
        </w:rPr>
      </w:pPr>
      <w:r w:rsidRPr="00E242EB">
        <w:rPr>
          <w:rFonts w:asciiTheme="majorHAnsi" w:hAnsiTheme="majorHAnsi"/>
          <w:szCs w:val="24"/>
        </w:rPr>
        <w:t xml:space="preserve">MMDC. 2012. Mumbai Municipal Development Corporation Report. </w:t>
      </w:r>
    </w:p>
    <w:p w:rsidR="006A68A4" w:rsidRPr="00E242EB" w:rsidRDefault="006A68A4" w:rsidP="00E242EB">
      <w:pPr>
        <w:pStyle w:val="ListParagraph"/>
        <w:numPr>
          <w:ilvl w:val="0"/>
          <w:numId w:val="28"/>
        </w:numPr>
        <w:spacing w:line="264" w:lineRule="auto"/>
        <w:jc w:val="both"/>
        <w:rPr>
          <w:rFonts w:asciiTheme="majorHAnsi" w:hAnsiTheme="majorHAnsi"/>
          <w:szCs w:val="24"/>
        </w:rPr>
      </w:pPr>
      <w:r w:rsidRPr="00E242EB">
        <w:rPr>
          <w:rFonts w:asciiTheme="majorHAnsi" w:hAnsiTheme="majorHAnsi"/>
          <w:szCs w:val="24"/>
        </w:rPr>
        <w:t xml:space="preserve">N C Saxena Report. 2012. Urban Poor In India. Pub: GOI. </w:t>
      </w:r>
    </w:p>
    <w:p w:rsidR="006A68A4" w:rsidRPr="00E242EB" w:rsidRDefault="006A68A4" w:rsidP="00E242EB">
      <w:pPr>
        <w:pStyle w:val="ListParagraph"/>
        <w:numPr>
          <w:ilvl w:val="0"/>
          <w:numId w:val="28"/>
        </w:numPr>
        <w:spacing w:line="264" w:lineRule="auto"/>
        <w:jc w:val="both"/>
        <w:rPr>
          <w:rFonts w:asciiTheme="majorHAnsi" w:hAnsiTheme="majorHAnsi"/>
          <w:szCs w:val="24"/>
        </w:rPr>
      </w:pPr>
      <w:r w:rsidRPr="00E242EB">
        <w:rPr>
          <w:rFonts w:asciiTheme="majorHAnsi" w:hAnsiTheme="majorHAnsi"/>
          <w:szCs w:val="24"/>
        </w:rPr>
        <w:t>NUHM Framework report. 2012. National urban health Mission framework report. Pub:MOHFW, GOI.</w:t>
      </w:r>
    </w:p>
    <w:p w:rsidR="006A68A4" w:rsidRPr="00E242EB" w:rsidRDefault="006A68A4" w:rsidP="00E242EB">
      <w:pPr>
        <w:pStyle w:val="ListParagraph"/>
        <w:numPr>
          <w:ilvl w:val="0"/>
          <w:numId w:val="28"/>
        </w:numPr>
        <w:spacing w:line="264" w:lineRule="auto"/>
        <w:jc w:val="both"/>
        <w:rPr>
          <w:rFonts w:asciiTheme="majorHAnsi" w:hAnsiTheme="majorHAnsi"/>
          <w:szCs w:val="24"/>
        </w:rPr>
      </w:pPr>
      <w:r w:rsidRPr="00E242EB">
        <w:rPr>
          <w:rFonts w:asciiTheme="majorHAnsi" w:hAnsiTheme="majorHAnsi"/>
          <w:szCs w:val="24"/>
        </w:rPr>
        <w:t xml:space="preserve">PHRN. 2010. Public Health Resource Network. Pub: Capital printers, New Delhi. </w:t>
      </w:r>
    </w:p>
    <w:p w:rsidR="006A68A4" w:rsidRPr="00E242EB" w:rsidRDefault="006A68A4" w:rsidP="00E242EB">
      <w:pPr>
        <w:pStyle w:val="ListParagraph"/>
        <w:numPr>
          <w:ilvl w:val="0"/>
          <w:numId w:val="28"/>
        </w:numPr>
        <w:spacing w:line="264" w:lineRule="auto"/>
        <w:jc w:val="both"/>
        <w:rPr>
          <w:rFonts w:asciiTheme="majorHAnsi" w:hAnsiTheme="majorHAnsi"/>
          <w:szCs w:val="24"/>
        </w:rPr>
      </w:pPr>
      <w:r w:rsidRPr="00E242EB">
        <w:rPr>
          <w:rFonts w:asciiTheme="majorHAnsi" w:hAnsiTheme="majorHAnsi"/>
          <w:szCs w:val="24"/>
        </w:rPr>
        <w:t xml:space="preserve">Ravindran T K and M Nair. 2012. Gender in the HLEG Report. Missed Opportunity.  </w:t>
      </w:r>
      <w:r w:rsidRPr="00E242EB">
        <w:rPr>
          <w:rFonts w:asciiTheme="majorHAnsi" w:hAnsiTheme="majorHAnsi"/>
          <w:i/>
          <w:iCs/>
          <w:szCs w:val="24"/>
        </w:rPr>
        <w:t>Economic and Political Weekly</w:t>
      </w:r>
      <w:r w:rsidRPr="00E242EB">
        <w:rPr>
          <w:rFonts w:asciiTheme="majorHAnsi" w:hAnsiTheme="majorHAnsi"/>
          <w:szCs w:val="24"/>
        </w:rPr>
        <w:t xml:space="preserve">. Vol. XLVII. </w:t>
      </w:r>
    </w:p>
    <w:p w:rsidR="006A68A4" w:rsidRPr="00E242EB" w:rsidRDefault="006A68A4" w:rsidP="00E242EB">
      <w:pPr>
        <w:pStyle w:val="ListParagraph"/>
        <w:numPr>
          <w:ilvl w:val="0"/>
          <w:numId w:val="28"/>
        </w:numPr>
        <w:spacing w:line="264" w:lineRule="auto"/>
        <w:jc w:val="both"/>
        <w:rPr>
          <w:rFonts w:asciiTheme="majorHAnsi" w:hAnsiTheme="majorHAnsi"/>
          <w:szCs w:val="24"/>
        </w:rPr>
      </w:pPr>
      <w:r w:rsidRPr="00E242EB">
        <w:rPr>
          <w:rFonts w:asciiTheme="majorHAnsi" w:hAnsiTheme="majorHAnsi"/>
          <w:szCs w:val="24"/>
        </w:rPr>
        <w:t xml:space="preserve">Reddy, P M. 2012. In Pursuit of an Effective UHC: Perspectives Lacking Innovation. </w:t>
      </w:r>
      <w:r w:rsidRPr="00E242EB">
        <w:rPr>
          <w:rFonts w:asciiTheme="majorHAnsi" w:hAnsiTheme="majorHAnsi"/>
          <w:i/>
          <w:iCs/>
          <w:szCs w:val="24"/>
        </w:rPr>
        <w:t>EPW</w:t>
      </w:r>
      <w:r w:rsidRPr="00E242EB">
        <w:rPr>
          <w:rFonts w:asciiTheme="majorHAnsi" w:hAnsiTheme="majorHAnsi"/>
          <w:szCs w:val="24"/>
        </w:rPr>
        <w:t>. Vol. XLVII. No. 8</w:t>
      </w:r>
    </w:p>
    <w:p w:rsidR="006A68A4" w:rsidRPr="00E242EB" w:rsidRDefault="006A68A4" w:rsidP="00E242EB">
      <w:pPr>
        <w:pStyle w:val="ListParagraph"/>
        <w:numPr>
          <w:ilvl w:val="0"/>
          <w:numId w:val="28"/>
        </w:numPr>
        <w:spacing w:line="264" w:lineRule="auto"/>
        <w:jc w:val="both"/>
        <w:rPr>
          <w:rFonts w:asciiTheme="majorHAnsi" w:hAnsiTheme="majorHAnsi"/>
          <w:szCs w:val="24"/>
        </w:rPr>
      </w:pPr>
      <w:r w:rsidRPr="00E242EB">
        <w:rPr>
          <w:rFonts w:asciiTheme="majorHAnsi" w:hAnsiTheme="majorHAnsi"/>
          <w:szCs w:val="24"/>
        </w:rPr>
        <w:t xml:space="preserve">USAID. 2007. Health of the Urban Poor In India: Issues, Challenges and Way Forward. Urban health Resource Centre Publishers. </w:t>
      </w: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Default="006A68A4" w:rsidP="006A68A4">
      <w:pPr>
        <w:spacing w:line="264" w:lineRule="auto"/>
        <w:contextualSpacing/>
        <w:jc w:val="both"/>
        <w:rPr>
          <w:rFonts w:asciiTheme="majorHAnsi" w:hAnsiTheme="majorHAnsi"/>
          <w:b/>
          <w:sz w:val="24"/>
          <w:szCs w:val="24"/>
        </w:rPr>
      </w:pPr>
    </w:p>
    <w:p w:rsidR="000C4AB7" w:rsidRDefault="000C4AB7" w:rsidP="006A68A4">
      <w:pPr>
        <w:spacing w:line="264" w:lineRule="auto"/>
        <w:contextualSpacing/>
        <w:jc w:val="both"/>
        <w:rPr>
          <w:rFonts w:asciiTheme="majorHAnsi" w:hAnsiTheme="majorHAnsi"/>
          <w:b/>
          <w:sz w:val="24"/>
          <w:szCs w:val="24"/>
        </w:rPr>
      </w:pPr>
    </w:p>
    <w:p w:rsidR="000C4AB7" w:rsidRDefault="000C4AB7" w:rsidP="006A68A4">
      <w:pPr>
        <w:spacing w:line="264" w:lineRule="auto"/>
        <w:contextualSpacing/>
        <w:jc w:val="both"/>
        <w:rPr>
          <w:rFonts w:asciiTheme="majorHAnsi" w:hAnsiTheme="majorHAnsi"/>
          <w:b/>
          <w:sz w:val="24"/>
          <w:szCs w:val="24"/>
        </w:rPr>
      </w:pPr>
    </w:p>
    <w:p w:rsidR="000C4AB7" w:rsidRDefault="000C4AB7" w:rsidP="006A68A4">
      <w:pPr>
        <w:spacing w:line="264" w:lineRule="auto"/>
        <w:contextualSpacing/>
        <w:jc w:val="both"/>
        <w:rPr>
          <w:rFonts w:asciiTheme="majorHAnsi" w:hAnsiTheme="majorHAnsi"/>
          <w:b/>
          <w:sz w:val="24"/>
          <w:szCs w:val="24"/>
        </w:rPr>
      </w:pPr>
    </w:p>
    <w:p w:rsidR="000C4AB7" w:rsidRDefault="000C4AB7" w:rsidP="006A68A4">
      <w:pPr>
        <w:spacing w:line="264" w:lineRule="auto"/>
        <w:contextualSpacing/>
        <w:jc w:val="both"/>
        <w:rPr>
          <w:rFonts w:asciiTheme="majorHAnsi" w:hAnsiTheme="majorHAnsi"/>
          <w:b/>
          <w:sz w:val="24"/>
          <w:szCs w:val="24"/>
        </w:rPr>
      </w:pPr>
    </w:p>
    <w:p w:rsidR="000C4AB7" w:rsidRDefault="000C4AB7"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36"/>
          <w:szCs w:val="32"/>
        </w:rPr>
      </w:pPr>
      <w:r w:rsidRPr="006A68A4">
        <w:rPr>
          <w:rFonts w:asciiTheme="majorHAnsi" w:hAnsiTheme="majorHAnsi"/>
          <w:b/>
          <w:sz w:val="36"/>
          <w:szCs w:val="32"/>
        </w:rPr>
        <w:t xml:space="preserve">Working Group II: Institutional Mechanisms </w:t>
      </w:r>
    </w:p>
    <w:p w:rsidR="006A68A4" w:rsidRPr="006A68A4" w:rsidRDefault="00D20074" w:rsidP="006A68A4">
      <w:pPr>
        <w:spacing w:line="264" w:lineRule="auto"/>
        <w:contextualSpacing/>
        <w:jc w:val="both"/>
        <w:rPr>
          <w:rFonts w:asciiTheme="majorHAnsi" w:hAnsiTheme="majorHAnsi"/>
          <w:b/>
          <w:sz w:val="24"/>
          <w:szCs w:val="24"/>
        </w:rPr>
      </w:pPr>
      <w:r>
        <w:rPr>
          <w:rFonts w:asciiTheme="majorHAnsi" w:hAnsiTheme="majorHAnsi"/>
          <w:b/>
          <w:noProof/>
          <w:sz w:val="24"/>
          <w:szCs w:val="24"/>
        </w:rPr>
        <w:pict>
          <v:line id="Straight Connector 4" o:spid="_x0000_s1029" style="position:absolute;left:0;text-align:left;flip:y;z-index:251671552;visibility:visible;mso-height-relative:margin" from="-5.85pt,10.3pt" to="465.4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" strokecolor="#4579b8 [3044]"/>
        </w:pict>
      </w: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Default="006A68A4" w:rsidP="006A68A4">
      <w:pPr>
        <w:spacing w:line="264" w:lineRule="auto"/>
        <w:contextualSpacing/>
        <w:jc w:val="both"/>
        <w:rPr>
          <w:rFonts w:asciiTheme="majorHAnsi" w:hAnsiTheme="majorHAnsi"/>
          <w:b/>
          <w:sz w:val="24"/>
          <w:szCs w:val="24"/>
        </w:rPr>
      </w:pPr>
    </w:p>
    <w:p w:rsidR="006A68A4" w:rsidRDefault="006A68A4" w:rsidP="006A68A4">
      <w:pPr>
        <w:spacing w:line="264" w:lineRule="auto"/>
        <w:contextualSpacing/>
        <w:jc w:val="both"/>
        <w:rPr>
          <w:rFonts w:asciiTheme="majorHAnsi" w:hAnsiTheme="majorHAnsi"/>
          <w:b/>
          <w:sz w:val="24"/>
          <w:szCs w:val="24"/>
        </w:rPr>
      </w:pPr>
    </w:p>
    <w:p w:rsidR="006A68A4" w:rsidRDefault="006A68A4" w:rsidP="006A68A4">
      <w:pPr>
        <w:spacing w:line="264" w:lineRule="auto"/>
        <w:contextualSpacing/>
        <w:jc w:val="both"/>
        <w:rPr>
          <w:rFonts w:asciiTheme="majorHAnsi" w:hAnsiTheme="majorHAnsi"/>
          <w:b/>
          <w:sz w:val="24"/>
          <w:szCs w:val="24"/>
        </w:rPr>
      </w:pPr>
    </w:p>
    <w:p w:rsidR="006A68A4" w:rsidRDefault="006A68A4" w:rsidP="006A68A4">
      <w:pPr>
        <w:spacing w:line="264" w:lineRule="auto"/>
        <w:contextualSpacing/>
        <w:jc w:val="both"/>
        <w:rPr>
          <w:rFonts w:asciiTheme="majorHAnsi" w:hAnsiTheme="majorHAnsi"/>
          <w:b/>
          <w:sz w:val="24"/>
          <w:szCs w:val="24"/>
        </w:rPr>
      </w:pPr>
    </w:p>
    <w:p w:rsidR="006A68A4" w:rsidRDefault="006A68A4" w:rsidP="006A68A4">
      <w:pPr>
        <w:spacing w:line="264" w:lineRule="auto"/>
        <w:contextualSpacing/>
        <w:jc w:val="both"/>
        <w:rPr>
          <w:rFonts w:asciiTheme="majorHAnsi" w:hAnsiTheme="majorHAnsi"/>
          <w:b/>
          <w:sz w:val="24"/>
          <w:szCs w:val="24"/>
        </w:rPr>
      </w:pPr>
    </w:p>
    <w:p w:rsid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Default="006A68A4" w:rsidP="006A68A4">
      <w:pPr>
        <w:spacing w:line="264" w:lineRule="auto"/>
        <w:contextualSpacing/>
        <w:jc w:val="both"/>
        <w:rPr>
          <w:rFonts w:asciiTheme="majorHAnsi" w:hAnsiTheme="majorHAnsi"/>
          <w:b/>
          <w:sz w:val="24"/>
          <w:szCs w:val="24"/>
        </w:rPr>
      </w:pPr>
    </w:p>
    <w:p w:rsidR="006A68A4" w:rsidRDefault="006A68A4" w:rsidP="006A68A4">
      <w:pPr>
        <w:spacing w:line="264" w:lineRule="auto"/>
        <w:contextualSpacing/>
        <w:jc w:val="both"/>
        <w:rPr>
          <w:rFonts w:asciiTheme="majorHAnsi" w:hAnsiTheme="majorHAnsi"/>
          <w:b/>
          <w:sz w:val="24"/>
          <w:szCs w:val="24"/>
        </w:rPr>
      </w:pPr>
    </w:p>
    <w:p w:rsidR="006A68A4" w:rsidRDefault="006A68A4" w:rsidP="006A68A4">
      <w:pPr>
        <w:spacing w:line="264" w:lineRule="auto"/>
        <w:contextualSpacing/>
        <w:jc w:val="both"/>
        <w:rPr>
          <w:rFonts w:asciiTheme="majorHAnsi" w:hAnsiTheme="majorHAnsi"/>
          <w:b/>
          <w:sz w:val="24"/>
          <w:szCs w:val="24"/>
        </w:rPr>
      </w:pPr>
    </w:p>
    <w:p w:rsidR="000C4AB7" w:rsidRDefault="000C4AB7" w:rsidP="006A68A4">
      <w:pPr>
        <w:spacing w:line="264" w:lineRule="auto"/>
        <w:contextualSpacing/>
        <w:jc w:val="both"/>
        <w:rPr>
          <w:rFonts w:asciiTheme="majorHAnsi" w:hAnsiTheme="majorHAnsi"/>
          <w:b/>
          <w:sz w:val="24"/>
          <w:szCs w:val="24"/>
        </w:rPr>
      </w:pPr>
    </w:p>
    <w:p w:rsidR="000C4AB7" w:rsidRDefault="000C4AB7" w:rsidP="006A68A4">
      <w:pPr>
        <w:spacing w:line="264" w:lineRule="auto"/>
        <w:contextualSpacing/>
        <w:jc w:val="both"/>
        <w:rPr>
          <w:rFonts w:asciiTheme="majorHAnsi" w:hAnsiTheme="majorHAnsi"/>
          <w:b/>
          <w:sz w:val="24"/>
          <w:szCs w:val="24"/>
        </w:rPr>
      </w:pPr>
    </w:p>
    <w:p w:rsidR="006A68A4" w:rsidRPr="00D024C7" w:rsidRDefault="006A68A4" w:rsidP="006A68A4">
      <w:pPr>
        <w:spacing w:line="264" w:lineRule="auto"/>
        <w:contextualSpacing/>
        <w:jc w:val="center"/>
        <w:rPr>
          <w:rFonts w:asciiTheme="majorHAnsi" w:hAnsiTheme="majorHAnsi"/>
          <w:b/>
          <w:sz w:val="28"/>
          <w:szCs w:val="24"/>
          <w:u w:val="single"/>
        </w:rPr>
      </w:pPr>
      <w:r w:rsidRPr="00D024C7">
        <w:rPr>
          <w:rFonts w:asciiTheme="majorHAnsi" w:hAnsiTheme="majorHAnsi"/>
          <w:b/>
          <w:sz w:val="28"/>
          <w:szCs w:val="24"/>
          <w:u w:val="single"/>
        </w:rPr>
        <w:lastRenderedPageBreak/>
        <w:t>Institutional Mechanisms: Review of Official Documents</w:t>
      </w: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pStyle w:val="ListParagraph"/>
        <w:spacing w:line="264" w:lineRule="auto"/>
        <w:ind w:left="0"/>
        <w:jc w:val="both"/>
        <w:rPr>
          <w:rFonts w:asciiTheme="majorHAnsi" w:hAnsiTheme="majorHAnsi" w:cstheme="minorHAnsi"/>
          <w:b/>
          <w:bCs/>
          <w:sz w:val="24"/>
          <w:szCs w:val="24"/>
        </w:rPr>
      </w:pPr>
      <w:r>
        <w:rPr>
          <w:rFonts w:asciiTheme="majorHAnsi" w:hAnsiTheme="majorHAnsi" w:cstheme="minorHAnsi"/>
          <w:b/>
          <w:bCs/>
          <w:sz w:val="24"/>
          <w:szCs w:val="24"/>
        </w:rPr>
        <w:t xml:space="preserve">TOR Question 1: </w:t>
      </w:r>
      <w:r w:rsidRPr="006A68A4">
        <w:rPr>
          <w:rFonts w:asciiTheme="majorHAnsi" w:hAnsiTheme="majorHAnsi" w:cstheme="minorHAnsi"/>
          <w:b/>
          <w:bCs/>
          <w:sz w:val="24"/>
          <w:szCs w:val="24"/>
        </w:rPr>
        <w:t>What are the current institutional structures if any for delivery of primary health services to urban populations? Are these managed by state or municipal governments?</w:t>
      </w:r>
    </w:p>
    <w:p w:rsidR="006A68A4" w:rsidRPr="006A68A4" w:rsidRDefault="006A68A4" w:rsidP="006A68A4">
      <w:pPr>
        <w:pStyle w:val="ListParagraph"/>
        <w:spacing w:line="264" w:lineRule="auto"/>
        <w:ind w:left="960"/>
        <w:jc w:val="both"/>
        <w:rPr>
          <w:rFonts w:asciiTheme="majorHAnsi" w:hAnsiTheme="majorHAnsi" w:cstheme="minorHAnsi"/>
          <w:b/>
          <w:bCs/>
          <w:sz w:val="24"/>
          <w:szCs w:val="24"/>
        </w:rPr>
      </w:pPr>
    </w:p>
    <w:p w:rsidR="006A68A4" w:rsidRDefault="006A68A4" w:rsidP="006A68A4">
      <w:pPr>
        <w:spacing w:line="264" w:lineRule="auto"/>
        <w:contextualSpacing/>
        <w:jc w:val="both"/>
        <w:rPr>
          <w:rFonts w:asciiTheme="majorHAnsi" w:hAnsiTheme="majorHAnsi" w:cstheme="minorHAnsi"/>
          <w:sz w:val="24"/>
          <w:szCs w:val="24"/>
        </w:rPr>
      </w:pPr>
      <w:r w:rsidRPr="006A68A4">
        <w:rPr>
          <w:rFonts w:asciiTheme="majorHAnsi" w:hAnsiTheme="majorHAnsi" w:cstheme="minorHAnsi"/>
          <w:sz w:val="24"/>
          <w:szCs w:val="24"/>
        </w:rPr>
        <w:t>The Constitution mandates that primary health care in urban areas is the responsibility of ULBs. As of now, the country has four types of health posts, A, B, C and D. The Urban Family Welfare Centres are also of three types I,II and III. They differ mainly in staffing patterns, and accordingly, in services provided. They provide mainly RCH care. Weak referral mechanisms and poor facilities prevent them from being effective in primary health care provisioning. Several of these have been constructed under the India Population Projects. In metropolises like Delhi, Mumbai, these are run by the Municipal Corporations. In smaller cities/towns, these are managed by the respective state governments. The primary Institutions should be managed by local governments, ULBs/PRIs in order to achieve decentralization and enhance local participation, as mandated in the 73</w:t>
      </w:r>
      <w:r w:rsidRPr="006A68A4">
        <w:rPr>
          <w:rFonts w:asciiTheme="majorHAnsi" w:hAnsiTheme="majorHAnsi" w:cstheme="minorHAnsi"/>
          <w:sz w:val="24"/>
          <w:szCs w:val="24"/>
          <w:vertAlign w:val="superscript"/>
        </w:rPr>
        <w:t>rd</w:t>
      </w:r>
      <w:r w:rsidRPr="006A68A4">
        <w:rPr>
          <w:rFonts w:asciiTheme="majorHAnsi" w:hAnsiTheme="majorHAnsi" w:cstheme="minorHAnsi"/>
          <w:sz w:val="24"/>
          <w:szCs w:val="24"/>
        </w:rPr>
        <w:t xml:space="preserve"> and 74</w:t>
      </w:r>
      <w:r w:rsidRPr="006A68A4">
        <w:rPr>
          <w:rFonts w:asciiTheme="majorHAnsi" w:hAnsiTheme="majorHAnsi" w:cstheme="minorHAnsi"/>
          <w:sz w:val="24"/>
          <w:szCs w:val="24"/>
          <w:vertAlign w:val="superscript"/>
        </w:rPr>
        <w:t>th</w:t>
      </w:r>
      <w:r w:rsidRPr="006A68A4">
        <w:rPr>
          <w:rFonts w:asciiTheme="majorHAnsi" w:hAnsiTheme="majorHAnsi" w:cstheme="minorHAnsi"/>
          <w:sz w:val="24"/>
          <w:szCs w:val="24"/>
        </w:rPr>
        <w:t xml:space="preserve"> CAAs </w:t>
      </w:r>
      <w:sdt>
        <w:sdtPr>
          <w:rPr>
            <w:rFonts w:asciiTheme="majorHAnsi" w:hAnsiTheme="majorHAnsi" w:cstheme="minorHAnsi"/>
            <w:sz w:val="24"/>
            <w:szCs w:val="24"/>
          </w:rPr>
          <w:id w:val="3014408"/>
          <w:citation/>
        </w:sdtPr>
        <w:sdtContent>
          <w:r w:rsidR="00D20074" w:rsidRPr="006A68A4">
            <w:rPr>
              <w:rFonts w:asciiTheme="majorHAnsi" w:hAnsiTheme="majorHAnsi" w:cstheme="minorHAnsi"/>
              <w:sz w:val="24"/>
              <w:szCs w:val="24"/>
            </w:rPr>
            <w:fldChar w:fldCharType="begin"/>
          </w:r>
          <w:r w:rsidRPr="006A68A4">
            <w:rPr>
              <w:rFonts w:asciiTheme="majorHAnsi" w:hAnsiTheme="majorHAnsi" w:cstheme="minorHAnsi"/>
              <w:sz w:val="24"/>
              <w:szCs w:val="24"/>
            </w:rPr>
            <w:instrText xml:space="preserve"> CITATION XII12 \l 1033 </w:instrText>
          </w:r>
          <w:r w:rsidR="00D20074" w:rsidRPr="006A68A4">
            <w:rPr>
              <w:rFonts w:asciiTheme="majorHAnsi" w:hAnsiTheme="majorHAnsi" w:cstheme="minorHAnsi"/>
              <w:sz w:val="24"/>
              <w:szCs w:val="24"/>
            </w:rPr>
            <w:fldChar w:fldCharType="separate"/>
          </w:r>
          <w:r w:rsidRPr="006A68A4">
            <w:rPr>
              <w:rFonts w:asciiTheme="majorHAnsi" w:hAnsiTheme="majorHAnsi" w:cstheme="minorHAnsi"/>
              <w:noProof/>
              <w:sz w:val="24"/>
              <w:szCs w:val="24"/>
            </w:rPr>
            <w:t>(XIIth Plan, 2012)</w:t>
          </w:r>
          <w:r w:rsidR="00D20074" w:rsidRPr="006A68A4">
            <w:rPr>
              <w:rFonts w:asciiTheme="majorHAnsi" w:hAnsiTheme="majorHAnsi" w:cstheme="minorHAnsi"/>
              <w:sz w:val="24"/>
              <w:szCs w:val="24"/>
            </w:rPr>
            <w:fldChar w:fldCharType="end"/>
          </w:r>
        </w:sdtContent>
      </w:sdt>
      <w:r w:rsidRPr="006A68A4">
        <w:rPr>
          <w:rFonts w:asciiTheme="majorHAnsi" w:hAnsiTheme="majorHAnsi" w:cstheme="minorHAnsi"/>
          <w:sz w:val="24"/>
          <w:szCs w:val="24"/>
        </w:rPr>
        <w:t xml:space="preserve">. </w:t>
      </w:r>
    </w:p>
    <w:p w:rsidR="006A68A4" w:rsidRDefault="006A68A4" w:rsidP="006A68A4">
      <w:pPr>
        <w:spacing w:line="264" w:lineRule="auto"/>
        <w:contextualSpacing/>
        <w:jc w:val="both"/>
        <w:rPr>
          <w:rFonts w:asciiTheme="majorHAnsi" w:hAnsiTheme="majorHAnsi" w:cstheme="minorHAnsi"/>
          <w:sz w:val="24"/>
          <w:szCs w:val="24"/>
        </w:rPr>
      </w:pPr>
    </w:p>
    <w:p w:rsidR="006A68A4" w:rsidRDefault="006A68A4" w:rsidP="006A68A4">
      <w:pPr>
        <w:spacing w:line="264" w:lineRule="auto"/>
        <w:contextualSpacing/>
        <w:jc w:val="both"/>
        <w:rPr>
          <w:rFonts w:asciiTheme="majorHAnsi" w:hAnsiTheme="majorHAnsi" w:cstheme="minorHAnsi"/>
          <w:b/>
          <w:bCs/>
          <w:sz w:val="24"/>
          <w:szCs w:val="24"/>
        </w:rPr>
      </w:pPr>
      <w:r w:rsidRPr="006A68A4">
        <w:rPr>
          <w:rFonts w:asciiTheme="majorHAnsi" w:hAnsiTheme="majorHAnsi" w:cstheme="minorHAnsi"/>
          <w:b/>
          <w:sz w:val="24"/>
          <w:szCs w:val="24"/>
        </w:rPr>
        <w:t xml:space="preserve">TOR Question 2: </w:t>
      </w:r>
      <w:r w:rsidRPr="006A68A4">
        <w:rPr>
          <w:rFonts w:asciiTheme="majorHAnsi" w:hAnsiTheme="majorHAnsi" w:cstheme="minorHAnsi"/>
          <w:b/>
          <w:bCs/>
          <w:sz w:val="24"/>
          <w:szCs w:val="24"/>
        </w:rPr>
        <w:t>What is the diversity in these institutional arrangements nationally, and what are the strengths, weaknesses and challenges in these, including recommended good practices?</w:t>
      </w:r>
    </w:p>
    <w:p w:rsidR="006A68A4" w:rsidRPr="006A68A4" w:rsidRDefault="006A68A4" w:rsidP="006A68A4">
      <w:pPr>
        <w:spacing w:line="264" w:lineRule="auto"/>
        <w:contextualSpacing/>
        <w:jc w:val="both"/>
        <w:rPr>
          <w:rFonts w:asciiTheme="majorHAnsi" w:hAnsiTheme="majorHAnsi" w:cstheme="minorHAnsi"/>
          <w:b/>
          <w:bCs/>
          <w:sz w:val="24"/>
          <w:szCs w:val="24"/>
        </w:rPr>
      </w:pPr>
    </w:p>
    <w:p w:rsidR="006A68A4" w:rsidRDefault="006A68A4" w:rsidP="006A68A4">
      <w:pPr>
        <w:spacing w:line="264" w:lineRule="auto"/>
        <w:contextualSpacing/>
        <w:jc w:val="both"/>
        <w:rPr>
          <w:rFonts w:asciiTheme="majorHAnsi" w:hAnsiTheme="majorHAnsi" w:cstheme="minorHAnsi"/>
          <w:sz w:val="24"/>
          <w:szCs w:val="24"/>
        </w:rPr>
      </w:pPr>
      <w:r w:rsidRPr="006A68A4">
        <w:rPr>
          <w:rFonts w:asciiTheme="majorHAnsi" w:hAnsiTheme="majorHAnsi" w:cstheme="minorHAnsi"/>
          <w:sz w:val="24"/>
          <w:szCs w:val="24"/>
        </w:rPr>
        <w:t>The IPP VIII cities, Mumbai, Bengaluru, Hyderabad, Delhi, Kolkata and Chennai have a three tier structure comprising health posts, Family Welfare Centres, maternity homes, tertiary and super-</w:t>
      </w:r>
      <w:r w:rsidR="00B60A4B" w:rsidRPr="006A68A4">
        <w:rPr>
          <w:rFonts w:asciiTheme="majorHAnsi" w:hAnsiTheme="majorHAnsi" w:cstheme="minorHAnsi"/>
          <w:sz w:val="24"/>
          <w:szCs w:val="24"/>
        </w:rPr>
        <w:t>specialty</w:t>
      </w:r>
      <w:r w:rsidRPr="006A68A4">
        <w:rPr>
          <w:rFonts w:asciiTheme="majorHAnsi" w:hAnsiTheme="majorHAnsi" w:cstheme="minorHAnsi"/>
          <w:sz w:val="24"/>
          <w:szCs w:val="24"/>
        </w:rPr>
        <w:t xml:space="preserve"> hospitals. The primary healthcare centres are largely underutilized, while the tertiary are overburdened. The former are largely focused on RCH, have few facilities, shortage of medicines, drugs etc. and poor motivation of personnel. They are managed by the Municipal Corporations in some cities like Mumbai, Kolkata, Bengaluru and Ahmedabad. However, in others like Delhi, along with the Municipal Corporations, other parastatal agencies are also involved in delivering the services. Multiplicity of agencies and lack of coordination between them hampers the quality of services. </w:t>
      </w:r>
    </w:p>
    <w:p w:rsidR="006A68A4" w:rsidRPr="006A68A4" w:rsidRDefault="006A68A4" w:rsidP="006A68A4">
      <w:pPr>
        <w:spacing w:line="264" w:lineRule="auto"/>
        <w:contextualSpacing/>
        <w:jc w:val="both"/>
        <w:rPr>
          <w:rFonts w:asciiTheme="majorHAnsi" w:hAnsiTheme="majorHAnsi" w:cstheme="minorHAnsi"/>
          <w:sz w:val="24"/>
          <w:szCs w:val="24"/>
        </w:rPr>
      </w:pPr>
    </w:p>
    <w:p w:rsidR="006A68A4" w:rsidRDefault="006A68A4" w:rsidP="006A68A4">
      <w:pPr>
        <w:spacing w:line="264" w:lineRule="auto"/>
        <w:contextualSpacing/>
        <w:jc w:val="both"/>
        <w:rPr>
          <w:rFonts w:asciiTheme="majorHAnsi" w:hAnsiTheme="majorHAnsi" w:cstheme="minorHAnsi"/>
          <w:sz w:val="24"/>
          <w:szCs w:val="24"/>
        </w:rPr>
      </w:pPr>
      <w:r w:rsidRPr="006A68A4">
        <w:rPr>
          <w:rFonts w:asciiTheme="majorHAnsi" w:hAnsiTheme="majorHAnsi" w:cstheme="minorHAnsi"/>
          <w:sz w:val="24"/>
          <w:szCs w:val="24"/>
        </w:rPr>
        <w:t>In states like Madhya Pradesh, Bihar and Uttar Pradesh, the state government provides all health services. The role of the ULB is restricted to civic amenities like water, sanitation, cleanliness etc. However, in states like Karnataka, West Bengal, Tamil</w:t>
      </w:r>
      <w:r w:rsidR="00B60A4B">
        <w:rPr>
          <w:rFonts w:asciiTheme="majorHAnsi" w:hAnsiTheme="majorHAnsi" w:cstheme="minorHAnsi"/>
          <w:sz w:val="24"/>
          <w:szCs w:val="24"/>
        </w:rPr>
        <w:t xml:space="preserve"> N</w:t>
      </w:r>
      <w:r w:rsidRPr="006A68A4">
        <w:rPr>
          <w:rFonts w:asciiTheme="majorHAnsi" w:hAnsiTheme="majorHAnsi" w:cstheme="minorHAnsi"/>
          <w:sz w:val="24"/>
          <w:szCs w:val="24"/>
        </w:rPr>
        <w:t xml:space="preserve">adu and Gujarat, ULBs manage health care programs as well. They have the capacity to plan and </w:t>
      </w:r>
      <w:r w:rsidR="00B60A4B" w:rsidRPr="006A68A4">
        <w:rPr>
          <w:rFonts w:asciiTheme="majorHAnsi" w:hAnsiTheme="majorHAnsi" w:cstheme="minorHAnsi"/>
          <w:sz w:val="24"/>
          <w:szCs w:val="24"/>
        </w:rPr>
        <w:t>manage health</w:t>
      </w:r>
      <w:r w:rsidRPr="006A68A4">
        <w:rPr>
          <w:rFonts w:asciiTheme="majorHAnsi" w:hAnsiTheme="majorHAnsi" w:cstheme="minorHAnsi"/>
          <w:sz w:val="24"/>
          <w:szCs w:val="24"/>
        </w:rPr>
        <w:t xml:space="preserve"> care programs and facilities. This capacity needs to be developed further. </w:t>
      </w:r>
    </w:p>
    <w:p w:rsidR="006A68A4" w:rsidRPr="006A68A4" w:rsidRDefault="006A68A4" w:rsidP="006A68A4">
      <w:pPr>
        <w:spacing w:line="264" w:lineRule="auto"/>
        <w:contextualSpacing/>
        <w:jc w:val="both"/>
        <w:rPr>
          <w:rFonts w:asciiTheme="majorHAnsi" w:hAnsiTheme="majorHAnsi" w:cstheme="minorHAnsi"/>
          <w:sz w:val="24"/>
          <w:szCs w:val="24"/>
        </w:rPr>
      </w:pPr>
    </w:p>
    <w:p w:rsidR="006A68A4" w:rsidRPr="006A68A4" w:rsidRDefault="006A68A4" w:rsidP="006A68A4">
      <w:pPr>
        <w:spacing w:line="264" w:lineRule="auto"/>
        <w:contextualSpacing/>
        <w:jc w:val="both"/>
        <w:rPr>
          <w:rFonts w:asciiTheme="majorHAnsi" w:hAnsiTheme="majorHAnsi" w:cstheme="minorHAnsi"/>
          <w:sz w:val="24"/>
          <w:szCs w:val="24"/>
        </w:rPr>
      </w:pPr>
      <w:r w:rsidRPr="006A68A4">
        <w:rPr>
          <w:rFonts w:asciiTheme="majorHAnsi" w:hAnsiTheme="majorHAnsi" w:cstheme="minorHAnsi"/>
          <w:sz w:val="24"/>
          <w:szCs w:val="24"/>
        </w:rPr>
        <w:t xml:space="preserve">In Gujarat, where urban health care reforms have been undertaken, there is a primary healthcare structure in place. Surat, Thane and Ahmedabad have set up Urban PHCs which </w:t>
      </w:r>
      <w:r w:rsidRPr="006A68A4">
        <w:rPr>
          <w:rFonts w:asciiTheme="majorHAnsi" w:hAnsiTheme="majorHAnsi" w:cstheme="minorHAnsi"/>
          <w:sz w:val="24"/>
          <w:szCs w:val="24"/>
        </w:rPr>
        <w:lastRenderedPageBreak/>
        <w:t>provide a range of services. These are run by the ULBs themselves in line with the mandate of the 74</w:t>
      </w:r>
      <w:r w:rsidRPr="006A68A4">
        <w:rPr>
          <w:rFonts w:asciiTheme="majorHAnsi" w:hAnsiTheme="majorHAnsi" w:cstheme="minorHAnsi"/>
          <w:sz w:val="24"/>
          <w:szCs w:val="24"/>
          <w:vertAlign w:val="superscript"/>
        </w:rPr>
        <w:t>th</w:t>
      </w:r>
      <w:r w:rsidRPr="006A68A4">
        <w:rPr>
          <w:rFonts w:asciiTheme="majorHAnsi" w:hAnsiTheme="majorHAnsi" w:cstheme="minorHAnsi"/>
          <w:sz w:val="24"/>
          <w:szCs w:val="24"/>
        </w:rPr>
        <w:t xml:space="preserve"> Constitutional Amendment. Andhra Pradesh has outsourced service delivery to NGOs in their newly constructed health posts with good results. </w:t>
      </w:r>
    </w:p>
    <w:p w:rsidR="006A68A4" w:rsidRPr="006A68A4" w:rsidRDefault="006A68A4" w:rsidP="006A68A4">
      <w:pPr>
        <w:spacing w:line="264" w:lineRule="auto"/>
        <w:contextualSpacing/>
        <w:jc w:val="both"/>
        <w:rPr>
          <w:rFonts w:asciiTheme="majorHAnsi" w:hAnsiTheme="majorHAnsi" w:cstheme="minorHAnsi"/>
          <w:sz w:val="24"/>
          <w:szCs w:val="24"/>
        </w:rPr>
      </w:pPr>
    </w:p>
    <w:p w:rsidR="006A68A4" w:rsidRDefault="006A68A4" w:rsidP="006A68A4">
      <w:pPr>
        <w:spacing w:line="264" w:lineRule="auto"/>
        <w:contextualSpacing/>
        <w:jc w:val="both"/>
        <w:rPr>
          <w:rFonts w:asciiTheme="majorHAnsi" w:hAnsiTheme="majorHAnsi" w:cstheme="minorHAnsi"/>
          <w:b/>
          <w:bCs/>
          <w:sz w:val="24"/>
          <w:szCs w:val="24"/>
        </w:rPr>
      </w:pPr>
      <w:r>
        <w:rPr>
          <w:rFonts w:asciiTheme="majorHAnsi" w:hAnsiTheme="majorHAnsi" w:cstheme="minorHAnsi"/>
          <w:b/>
          <w:bCs/>
          <w:sz w:val="24"/>
          <w:szCs w:val="24"/>
        </w:rPr>
        <w:t xml:space="preserve">TOR Question 3: </w:t>
      </w:r>
      <w:r w:rsidRPr="006A68A4">
        <w:rPr>
          <w:rFonts w:asciiTheme="majorHAnsi" w:hAnsiTheme="majorHAnsi" w:cstheme="minorHAnsi"/>
          <w:b/>
          <w:bCs/>
          <w:sz w:val="24"/>
          <w:szCs w:val="24"/>
        </w:rPr>
        <w:t>What are the current health-seeking behaviours of urban poor and vulnerable populations?</w:t>
      </w:r>
    </w:p>
    <w:p w:rsidR="006A68A4" w:rsidRPr="006A68A4" w:rsidRDefault="006A68A4" w:rsidP="006A68A4">
      <w:pPr>
        <w:spacing w:line="264" w:lineRule="auto"/>
        <w:contextualSpacing/>
        <w:jc w:val="both"/>
        <w:rPr>
          <w:rFonts w:asciiTheme="majorHAnsi" w:hAnsiTheme="majorHAnsi" w:cstheme="minorHAnsi"/>
          <w:b/>
          <w:bCs/>
          <w:sz w:val="24"/>
          <w:szCs w:val="24"/>
        </w:rPr>
      </w:pPr>
    </w:p>
    <w:p w:rsidR="006A68A4" w:rsidRDefault="006A68A4" w:rsidP="006A68A4">
      <w:pPr>
        <w:spacing w:line="264" w:lineRule="auto"/>
        <w:contextualSpacing/>
        <w:jc w:val="both"/>
        <w:rPr>
          <w:rFonts w:asciiTheme="majorHAnsi" w:hAnsiTheme="majorHAnsi" w:cstheme="minorHAnsi"/>
          <w:sz w:val="24"/>
          <w:szCs w:val="24"/>
        </w:rPr>
      </w:pPr>
      <w:r w:rsidRPr="006A68A4">
        <w:rPr>
          <w:rFonts w:asciiTheme="majorHAnsi" w:hAnsiTheme="majorHAnsi" w:cstheme="minorHAnsi"/>
          <w:sz w:val="24"/>
          <w:szCs w:val="24"/>
        </w:rPr>
        <w:t xml:space="preserve">Urban poor are a diverse group of vulnerable populations such as homeless, rag-pickers, street children, rickshaw pullers, construction, brick and lime kiln workers, sex workers and temporary migrants. They do not have stability, family support structures are not in place, women usually work, and their respective cultures vary. Hence they are unable to form any relationship with healthcare providers. Urban areas have a large number of for profit and not for profit private providers. The urban poor access them more frequently than public facilities. Public health facilities in urban areas are very meager, and do not reach those who need them most. This is mainly because of poor infrastructure and inconvenient timings. This has also been noted by the National Health Policy, 2002. This implies that the poor make out of pocket payments for accessing private healthcare at the cost of items such as basic nutrition. </w:t>
      </w:r>
    </w:p>
    <w:p w:rsidR="006A68A4" w:rsidRDefault="006A68A4" w:rsidP="006A68A4">
      <w:pPr>
        <w:spacing w:line="264" w:lineRule="auto"/>
        <w:contextualSpacing/>
        <w:jc w:val="both"/>
        <w:rPr>
          <w:rFonts w:asciiTheme="majorHAnsi" w:hAnsiTheme="majorHAnsi" w:cstheme="minorHAnsi"/>
          <w:sz w:val="24"/>
          <w:szCs w:val="24"/>
        </w:rPr>
      </w:pPr>
    </w:p>
    <w:p w:rsidR="006A68A4" w:rsidRDefault="006A68A4" w:rsidP="006A68A4">
      <w:pPr>
        <w:spacing w:line="264" w:lineRule="auto"/>
        <w:contextualSpacing/>
        <w:jc w:val="both"/>
        <w:rPr>
          <w:rFonts w:asciiTheme="majorHAnsi" w:hAnsiTheme="majorHAnsi" w:cstheme="minorHAnsi"/>
          <w:b/>
          <w:bCs/>
          <w:sz w:val="24"/>
          <w:szCs w:val="24"/>
        </w:rPr>
      </w:pPr>
      <w:r w:rsidRPr="006A68A4">
        <w:rPr>
          <w:rFonts w:asciiTheme="majorHAnsi" w:hAnsiTheme="majorHAnsi" w:cstheme="minorHAnsi"/>
          <w:b/>
          <w:sz w:val="24"/>
          <w:szCs w:val="24"/>
        </w:rPr>
        <w:t xml:space="preserve">TOR Question 4: </w:t>
      </w:r>
      <w:r w:rsidRPr="006A68A4">
        <w:rPr>
          <w:rFonts w:asciiTheme="majorHAnsi" w:hAnsiTheme="majorHAnsi" w:cstheme="minorHAnsi"/>
          <w:b/>
          <w:bCs/>
          <w:sz w:val="24"/>
          <w:szCs w:val="24"/>
        </w:rPr>
        <w:t> What should be the minimal recommended institutional structures for the UHM for best delivery of primary health services to the targeted urban populations? Should these be managed by the state or local governments?</w:t>
      </w:r>
    </w:p>
    <w:p w:rsidR="006A68A4" w:rsidRPr="006A68A4" w:rsidRDefault="006A68A4" w:rsidP="006A68A4">
      <w:pPr>
        <w:spacing w:line="264" w:lineRule="auto"/>
        <w:contextualSpacing/>
        <w:jc w:val="both"/>
        <w:rPr>
          <w:rFonts w:asciiTheme="majorHAnsi" w:hAnsiTheme="majorHAnsi" w:cstheme="minorHAnsi"/>
          <w:b/>
          <w:bCs/>
          <w:sz w:val="24"/>
          <w:szCs w:val="24"/>
        </w:rPr>
      </w:pPr>
    </w:p>
    <w:p w:rsidR="006A68A4" w:rsidRDefault="006A68A4" w:rsidP="006A68A4">
      <w:pPr>
        <w:tabs>
          <w:tab w:val="num" w:pos="720"/>
        </w:tabs>
        <w:spacing w:line="264" w:lineRule="auto"/>
        <w:contextualSpacing/>
        <w:jc w:val="both"/>
        <w:rPr>
          <w:rFonts w:asciiTheme="majorHAnsi" w:hAnsiTheme="majorHAnsi" w:cstheme="minorHAnsi"/>
          <w:sz w:val="24"/>
          <w:szCs w:val="24"/>
        </w:rPr>
      </w:pPr>
      <w:r w:rsidRPr="006A68A4">
        <w:rPr>
          <w:rFonts w:asciiTheme="majorHAnsi" w:hAnsiTheme="majorHAnsi" w:cstheme="minorHAnsi"/>
          <w:sz w:val="24"/>
          <w:szCs w:val="24"/>
        </w:rPr>
        <w:t xml:space="preserve">NUHM wants to set up well identified primary healthcare facilities for each segment of the target population which can be accessed conveniently. The Urban-PHC will provide a common platform for availability of all services at one point (U-PHC). Mechanisms of referrals should be operationalized, to make the PHC effective. The PHC will also provide outreach services. This will be done by the Female Health Worker, who will be provided mobility support for the purpose. Services will be universal in nature. Community participation will be encouraged by a Community Link Volunteer (Urban ASHA). Creation of community based institutions like Mahila Arogya Samitis (MAS) involving 50-100 households will empower women so that they can demand services. The MAS will be provided an annual grant of Rs. 5000 every year. This can be used for meetings, sanitation, hygiene or emergency health needs. Self Help Groups of Women established under other programs can also play the role of MAS. Although these guidelines set the pattern for creation of these structures, states have the flexibility to decide which model suits them best. States should involve NGOs to facilitate communitization, especially when reaching out to vulnerable groups. </w:t>
      </w:r>
    </w:p>
    <w:p w:rsidR="006A68A4" w:rsidRPr="006A68A4" w:rsidRDefault="006A68A4" w:rsidP="006A68A4">
      <w:pPr>
        <w:tabs>
          <w:tab w:val="num" w:pos="720"/>
        </w:tabs>
        <w:spacing w:line="264" w:lineRule="auto"/>
        <w:contextualSpacing/>
        <w:jc w:val="both"/>
        <w:rPr>
          <w:rFonts w:asciiTheme="majorHAnsi" w:hAnsiTheme="majorHAnsi" w:cstheme="minorHAnsi"/>
          <w:sz w:val="24"/>
          <w:szCs w:val="24"/>
        </w:rPr>
      </w:pPr>
    </w:p>
    <w:p w:rsidR="006A68A4" w:rsidRPr="006A68A4" w:rsidRDefault="006A68A4" w:rsidP="006A68A4">
      <w:pPr>
        <w:tabs>
          <w:tab w:val="num" w:pos="720"/>
        </w:tabs>
        <w:spacing w:line="264" w:lineRule="auto"/>
        <w:contextualSpacing/>
        <w:jc w:val="both"/>
        <w:rPr>
          <w:rFonts w:asciiTheme="majorHAnsi" w:hAnsiTheme="majorHAnsi" w:cstheme="minorHAnsi"/>
          <w:sz w:val="24"/>
          <w:szCs w:val="24"/>
        </w:rPr>
      </w:pPr>
      <w:r w:rsidRPr="006A68A4">
        <w:rPr>
          <w:rFonts w:asciiTheme="majorHAnsi" w:hAnsiTheme="majorHAnsi" w:cstheme="minorHAnsi"/>
          <w:sz w:val="24"/>
          <w:szCs w:val="24"/>
        </w:rPr>
        <w:t xml:space="preserve">The NUHM seeks to strengthen the public health capacity of Urban Local Bodies so that they can meet the different challenges facing them. It envisages that the ULBs should </w:t>
      </w:r>
      <w:r w:rsidRPr="006A68A4">
        <w:rPr>
          <w:rFonts w:asciiTheme="majorHAnsi" w:hAnsiTheme="majorHAnsi" w:cstheme="minorHAnsi"/>
          <w:sz w:val="24"/>
          <w:szCs w:val="24"/>
        </w:rPr>
        <w:lastRenderedPageBreak/>
        <w:t>become the units of planning in urban health. In keeping with the spirit of the 74</w:t>
      </w:r>
      <w:r w:rsidRPr="006A68A4">
        <w:rPr>
          <w:rFonts w:asciiTheme="majorHAnsi" w:hAnsiTheme="majorHAnsi" w:cstheme="minorHAnsi"/>
          <w:sz w:val="24"/>
          <w:szCs w:val="24"/>
          <w:vertAlign w:val="superscript"/>
        </w:rPr>
        <w:t>th</w:t>
      </w:r>
      <w:r w:rsidRPr="006A68A4">
        <w:rPr>
          <w:rFonts w:asciiTheme="majorHAnsi" w:hAnsiTheme="majorHAnsi" w:cstheme="minorHAnsi"/>
          <w:sz w:val="24"/>
          <w:szCs w:val="24"/>
        </w:rPr>
        <w:t xml:space="preserve"> Constitutional Amendment, the ULBs should build the capacity to manage the U-PHC/CHC. However, where this is not possible at present, the states can make appropriate changes.  </w:t>
      </w:r>
    </w:p>
    <w:p w:rsidR="006A68A4" w:rsidRPr="006A68A4" w:rsidRDefault="006A68A4" w:rsidP="006A68A4">
      <w:pPr>
        <w:spacing w:line="264" w:lineRule="auto"/>
        <w:contextualSpacing/>
        <w:jc w:val="both"/>
        <w:rPr>
          <w:rFonts w:asciiTheme="majorHAnsi" w:hAnsiTheme="majorHAnsi" w:cstheme="minorHAnsi"/>
          <w:sz w:val="24"/>
          <w:szCs w:val="24"/>
        </w:rPr>
      </w:pPr>
    </w:p>
    <w:p w:rsidR="006A68A4" w:rsidRDefault="006A68A4" w:rsidP="006A68A4">
      <w:pPr>
        <w:spacing w:line="264" w:lineRule="auto"/>
        <w:contextualSpacing/>
        <w:jc w:val="both"/>
        <w:rPr>
          <w:rFonts w:asciiTheme="majorHAnsi" w:hAnsiTheme="majorHAnsi" w:cstheme="minorHAnsi"/>
          <w:b/>
          <w:bCs/>
          <w:sz w:val="24"/>
          <w:szCs w:val="24"/>
        </w:rPr>
      </w:pPr>
      <w:r>
        <w:rPr>
          <w:rFonts w:asciiTheme="majorHAnsi" w:hAnsiTheme="majorHAnsi" w:cstheme="minorHAnsi"/>
          <w:b/>
          <w:bCs/>
          <w:sz w:val="24"/>
          <w:szCs w:val="24"/>
        </w:rPr>
        <w:t xml:space="preserve">TOR Question 5: </w:t>
      </w:r>
      <w:r w:rsidRPr="006A68A4">
        <w:rPr>
          <w:rFonts w:asciiTheme="majorHAnsi" w:hAnsiTheme="majorHAnsi" w:cstheme="minorHAnsi"/>
          <w:b/>
          <w:bCs/>
          <w:sz w:val="24"/>
          <w:szCs w:val="24"/>
        </w:rPr>
        <w:t>What are the current secondary and tertiary institutional health arrangements, and the systems and efficacy of referral arrangements to these from primary and community outreach levels? If these referral systems do not work, what are the reasons and barriers to effective referrals?</w:t>
      </w:r>
    </w:p>
    <w:p w:rsidR="006A68A4" w:rsidRPr="006A68A4" w:rsidRDefault="006A68A4" w:rsidP="006A68A4">
      <w:pPr>
        <w:spacing w:line="264" w:lineRule="auto"/>
        <w:contextualSpacing/>
        <w:jc w:val="both"/>
        <w:rPr>
          <w:rFonts w:asciiTheme="majorHAnsi" w:hAnsiTheme="majorHAnsi" w:cstheme="minorHAnsi"/>
          <w:b/>
          <w:bCs/>
          <w:sz w:val="24"/>
          <w:szCs w:val="24"/>
        </w:rPr>
      </w:pPr>
    </w:p>
    <w:p w:rsidR="006A68A4" w:rsidRDefault="006A68A4" w:rsidP="006A68A4">
      <w:pPr>
        <w:spacing w:line="264" w:lineRule="auto"/>
        <w:contextualSpacing/>
        <w:jc w:val="both"/>
        <w:rPr>
          <w:rFonts w:asciiTheme="majorHAnsi" w:hAnsiTheme="majorHAnsi" w:cstheme="minorHAnsi"/>
          <w:sz w:val="24"/>
          <w:szCs w:val="24"/>
        </w:rPr>
      </w:pPr>
      <w:r w:rsidRPr="006A68A4">
        <w:rPr>
          <w:rFonts w:asciiTheme="majorHAnsi" w:hAnsiTheme="majorHAnsi" w:cstheme="minorHAnsi"/>
          <w:sz w:val="24"/>
          <w:szCs w:val="24"/>
        </w:rPr>
        <w:t xml:space="preserve">Currently, secondary level of care is provided by District hospitals and their equivalents, like combined and base hospitals, while tertiary care is provided by Medical Colleges. However, these are not linked to primary care institutions like health posts or dispensaries. Consequently, patients approach tertiary hospitals for primary care which could have been provided elsewhere. This is a major reason for their high workload. If the primary level institutions were efficient, and the referral chain functional, the tertiary care institutions could have provided better quality of specialized care. This requires strengthening of primary and secondary levels of care and a functional referral linkage. The emphasis should be on primary prevention, primary health care, and secondary prevention, in that order. This approach would be cost effective and optimize resources at all levels </w:t>
      </w:r>
      <w:sdt>
        <w:sdtPr>
          <w:rPr>
            <w:rFonts w:asciiTheme="majorHAnsi" w:hAnsiTheme="majorHAnsi" w:cstheme="minorHAnsi"/>
            <w:sz w:val="24"/>
            <w:szCs w:val="24"/>
          </w:rPr>
          <w:id w:val="18513592"/>
          <w:citation/>
        </w:sdtPr>
        <w:sdtContent>
          <w:r w:rsidR="00D20074" w:rsidRPr="006A68A4">
            <w:rPr>
              <w:rFonts w:asciiTheme="majorHAnsi" w:hAnsiTheme="majorHAnsi" w:cstheme="minorHAnsi"/>
              <w:sz w:val="24"/>
              <w:szCs w:val="24"/>
            </w:rPr>
            <w:fldChar w:fldCharType="begin"/>
          </w:r>
          <w:r w:rsidRPr="006A68A4">
            <w:rPr>
              <w:rFonts w:asciiTheme="majorHAnsi" w:hAnsiTheme="majorHAnsi" w:cstheme="minorHAnsi"/>
              <w:sz w:val="24"/>
              <w:szCs w:val="24"/>
            </w:rPr>
            <w:instrText xml:space="preserve"> CITATION Pla11 \l 1033  </w:instrText>
          </w:r>
          <w:r w:rsidR="00D20074" w:rsidRPr="006A68A4">
            <w:rPr>
              <w:rFonts w:asciiTheme="majorHAnsi" w:hAnsiTheme="majorHAnsi" w:cstheme="minorHAnsi"/>
              <w:sz w:val="24"/>
              <w:szCs w:val="24"/>
            </w:rPr>
            <w:fldChar w:fldCharType="separate"/>
          </w:r>
          <w:r w:rsidRPr="006A68A4">
            <w:rPr>
              <w:rFonts w:asciiTheme="majorHAnsi" w:hAnsiTheme="majorHAnsi" w:cstheme="minorHAnsi"/>
              <w:noProof/>
              <w:sz w:val="24"/>
              <w:szCs w:val="24"/>
            </w:rPr>
            <w:t>(WG NRHM,XII FYP, 2011)</w:t>
          </w:r>
          <w:r w:rsidR="00D20074" w:rsidRPr="006A68A4">
            <w:rPr>
              <w:rFonts w:asciiTheme="majorHAnsi" w:hAnsiTheme="majorHAnsi" w:cstheme="minorHAnsi"/>
              <w:sz w:val="24"/>
              <w:szCs w:val="24"/>
            </w:rPr>
            <w:fldChar w:fldCharType="end"/>
          </w:r>
        </w:sdtContent>
      </w:sdt>
      <w:r w:rsidRPr="006A68A4">
        <w:rPr>
          <w:rFonts w:asciiTheme="majorHAnsi" w:hAnsiTheme="majorHAnsi" w:cstheme="minorHAnsi"/>
          <w:sz w:val="24"/>
          <w:szCs w:val="24"/>
        </w:rPr>
        <w:t xml:space="preserve">. </w:t>
      </w:r>
    </w:p>
    <w:p w:rsidR="00772725" w:rsidRPr="006A68A4" w:rsidRDefault="00772725" w:rsidP="006A68A4">
      <w:pPr>
        <w:spacing w:line="264" w:lineRule="auto"/>
        <w:contextualSpacing/>
        <w:jc w:val="both"/>
        <w:rPr>
          <w:rFonts w:asciiTheme="majorHAnsi" w:hAnsiTheme="majorHAnsi" w:cstheme="minorHAnsi"/>
          <w:sz w:val="24"/>
          <w:szCs w:val="24"/>
        </w:rPr>
      </w:pPr>
    </w:p>
    <w:p w:rsidR="006A68A4" w:rsidRPr="006A68A4" w:rsidRDefault="006A68A4" w:rsidP="006A68A4">
      <w:pPr>
        <w:spacing w:line="264" w:lineRule="auto"/>
        <w:contextualSpacing/>
        <w:jc w:val="both"/>
        <w:rPr>
          <w:rFonts w:asciiTheme="majorHAnsi" w:hAnsiTheme="majorHAnsi" w:cstheme="minorHAnsi"/>
          <w:sz w:val="24"/>
          <w:szCs w:val="24"/>
        </w:rPr>
      </w:pPr>
      <w:r w:rsidRPr="006A68A4">
        <w:rPr>
          <w:rFonts w:asciiTheme="majorHAnsi" w:hAnsiTheme="majorHAnsi" w:cstheme="minorHAnsi"/>
          <w:sz w:val="24"/>
          <w:szCs w:val="24"/>
        </w:rPr>
        <w:t xml:space="preserve">Multiplicity of providers and lack of coordination among them has led to dysfunctional referral systems and a consequent overload on tertiary care providers. Even in states where primary healthcare is managed by ULBs, and secondary and tertiary healthcare by the state, the referral chain is not functional </w:t>
      </w:r>
      <w:sdt>
        <w:sdtPr>
          <w:rPr>
            <w:rFonts w:asciiTheme="majorHAnsi" w:hAnsiTheme="majorHAnsi" w:cstheme="minorHAnsi"/>
            <w:sz w:val="24"/>
            <w:szCs w:val="24"/>
          </w:rPr>
          <w:id w:val="8638696"/>
          <w:citation/>
        </w:sdtPr>
        <w:sdtContent>
          <w:r w:rsidR="00D20074" w:rsidRPr="006A68A4">
            <w:rPr>
              <w:rFonts w:asciiTheme="majorHAnsi" w:hAnsiTheme="majorHAnsi" w:cstheme="minorHAnsi"/>
              <w:sz w:val="24"/>
              <w:szCs w:val="24"/>
            </w:rPr>
            <w:fldChar w:fldCharType="begin"/>
          </w:r>
          <w:r w:rsidRPr="006A68A4">
            <w:rPr>
              <w:rFonts w:asciiTheme="majorHAnsi" w:hAnsiTheme="majorHAnsi" w:cstheme="minorHAnsi"/>
              <w:sz w:val="24"/>
              <w:szCs w:val="24"/>
            </w:rPr>
            <w:instrText xml:space="preserve"> CITATION MoH12 \l 1033 </w:instrText>
          </w:r>
          <w:r w:rsidR="00D20074" w:rsidRPr="006A68A4">
            <w:rPr>
              <w:rFonts w:asciiTheme="majorHAnsi" w:hAnsiTheme="majorHAnsi" w:cstheme="minorHAnsi"/>
              <w:sz w:val="24"/>
              <w:szCs w:val="24"/>
            </w:rPr>
            <w:fldChar w:fldCharType="separate"/>
          </w:r>
          <w:r w:rsidRPr="006A68A4">
            <w:rPr>
              <w:rFonts w:asciiTheme="majorHAnsi" w:hAnsiTheme="majorHAnsi" w:cstheme="minorHAnsi"/>
              <w:noProof/>
              <w:sz w:val="24"/>
              <w:szCs w:val="24"/>
            </w:rPr>
            <w:t>(NUHM, 2012)</w:t>
          </w:r>
          <w:r w:rsidR="00D20074" w:rsidRPr="006A68A4">
            <w:rPr>
              <w:rFonts w:asciiTheme="majorHAnsi" w:hAnsiTheme="majorHAnsi" w:cstheme="minorHAnsi"/>
              <w:sz w:val="24"/>
              <w:szCs w:val="24"/>
            </w:rPr>
            <w:fldChar w:fldCharType="end"/>
          </w:r>
        </w:sdtContent>
      </w:sdt>
      <w:r w:rsidRPr="006A68A4">
        <w:rPr>
          <w:rFonts w:asciiTheme="majorHAnsi" w:hAnsiTheme="majorHAnsi" w:cstheme="minorHAnsi"/>
          <w:sz w:val="24"/>
          <w:szCs w:val="24"/>
        </w:rPr>
        <w:t xml:space="preserve">. </w:t>
      </w:r>
    </w:p>
    <w:p w:rsidR="006A68A4" w:rsidRPr="006A68A4" w:rsidRDefault="006A68A4" w:rsidP="006A68A4">
      <w:pPr>
        <w:spacing w:line="264" w:lineRule="auto"/>
        <w:contextualSpacing/>
        <w:jc w:val="both"/>
        <w:rPr>
          <w:rFonts w:asciiTheme="majorHAnsi" w:hAnsiTheme="majorHAnsi" w:cstheme="minorHAnsi"/>
          <w:b/>
          <w:bCs/>
          <w:sz w:val="24"/>
          <w:szCs w:val="24"/>
        </w:rPr>
      </w:pPr>
    </w:p>
    <w:p w:rsidR="006A68A4" w:rsidRDefault="00772725" w:rsidP="006A68A4">
      <w:pPr>
        <w:spacing w:line="264" w:lineRule="auto"/>
        <w:contextualSpacing/>
        <w:jc w:val="both"/>
        <w:rPr>
          <w:rFonts w:asciiTheme="majorHAnsi" w:hAnsiTheme="majorHAnsi" w:cstheme="minorHAnsi"/>
          <w:b/>
          <w:bCs/>
          <w:sz w:val="24"/>
          <w:szCs w:val="24"/>
        </w:rPr>
      </w:pPr>
      <w:r>
        <w:rPr>
          <w:rFonts w:asciiTheme="majorHAnsi" w:hAnsiTheme="majorHAnsi" w:cstheme="minorHAnsi"/>
          <w:b/>
          <w:bCs/>
          <w:sz w:val="24"/>
          <w:szCs w:val="24"/>
        </w:rPr>
        <w:t xml:space="preserve">TOR Question 6: </w:t>
      </w:r>
      <w:r w:rsidR="006A68A4" w:rsidRPr="006A68A4">
        <w:rPr>
          <w:rFonts w:asciiTheme="majorHAnsi" w:hAnsiTheme="majorHAnsi" w:cstheme="minorHAnsi"/>
          <w:b/>
          <w:bCs/>
          <w:sz w:val="24"/>
          <w:szCs w:val="24"/>
        </w:rPr>
        <w:t>What are the current institutional arrangements for vertical health programmes, especially those significant for urban poor populations, including RCH, TB, leprosy, HIV AIDS and mental health? How should these be integrated into the proposed institutional structures for the UHM for delivery of primary health services to the targeted urban populations?</w:t>
      </w:r>
    </w:p>
    <w:p w:rsidR="00772725" w:rsidRPr="006A68A4" w:rsidRDefault="00772725" w:rsidP="006A68A4">
      <w:pPr>
        <w:spacing w:line="264" w:lineRule="auto"/>
        <w:contextualSpacing/>
        <w:jc w:val="both"/>
        <w:rPr>
          <w:rFonts w:asciiTheme="majorHAnsi" w:hAnsiTheme="majorHAnsi" w:cstheme="minorHAnsi"/>
          <w:b/>
          <w:bCs/>
          <w:sz w:val="24"/>
          <w:szCs w:val="24"/>
        </w:rPr>
      </w:pPr>
    </w:p>
    <w:p w:rsidR="006A68A4" w:rsidRDefault="006A68A4" w:rsidP="006A68A4">
      <w:pPr>
        <w:spacing w:line="264" w:lineRule="auto"/>
        <w:contextualSpacing/>
        <w:jc w:val="both"/>
        <w:rPr>
          <w:rFonts w:asciiTheme="majorHAnsi" w:hAnsiTheme="majorHAnsi" w:cstheme="minorHAnsi"/>
          <w:sz w:val="24"/>
          <w:szCs w:val="24"/>
        </w:rPr>
      </w:pPr>
      <w:r w:rsidRPr="006A68A4">
        <w:rPr>
          <w:rFonts w:asciiTheme="majorHAnsi" w:hAnsiTheme="majorHAnsi" w:cstheme="minorHAnsi"/>
          <w:sz w:val="24"/>
          <w:szCs w:val="24"/>
        </w:rPr>
        <w:t xml:space="preserve">Vertical Implementation of programs has led to duplication of organizational machinery for each program and is found to be expensive and difficult to sustain </w:t>
      </w:r>
      <w:sdt>
        <w:sdtPr>
          <w:rPr>
            <w:rFonts w:asciiTheme="majorHAnsi" w:hAnsiTheme="majorHAnsi" w:cstheme="minorHAnsi"/>
            <w:sz w:val="24"/>
            <w:szCs w:val="24"/>
          </w:rPr>
          <w:id w:val="2197166"/>
          <w:citation/>
        </w:sdtPr>
        <w:sdtContent>
          <w:r w:rsidR="00D20074" w:rsidRPr="006A68A4">
            <w:rPr>
              <w:rFonts w:asciiTheme="majorHAnsi" w:hAnsiTheme="majorHAnsi" w:cstheme="minorHAnsi"/>
              <w:sz w:val="24"/>
              <w:szCs w:val="24"/>
            </w:rPr>
            <w:fldChar w:fldCharType="begin"/>
          </w:r>
          <w:r w:rsidRPr="006A68A4">
            <w:rPr>
              <w:rFonts w:asciiTheme="majorHAnsi" w:hAnsiTheme="majorHAnsi" w:cstheme="minorHAnsi"/>
              <w:sz w:val="24"/>
              <w:szCs w:val="24"/>
            </w:rPr>
            <w:instrText xml:space="preserve"> CITATION MoH02 \l 1033  </w:instrText>
          </w:r>
          <w:r w:rsidR="00D20074" w:rsidRPr="006A68A4">
            <w:rPr>
              <w:rFonts w:asciiTheme="majorHAnsi" w:hAnsiTheme="majorHAnsi" w:cstheme="minorHAnsi"/>
              <w:sz w:val="24"/>
              <w:szCs w:val="24"/>
            </w:rPr>
            <w:fldChar w:fldCharType="separate"/>
          </w:r>
          <w:r w:rsidRPr="006A68A4">
            <w:rPr>
              <w:rFonts w:asciiTheme="majorHAnsi" w:hAnsiTheme="majorHAnsi" w:cstheme="minorHAnsi"/>
              <w:noProof/>
              <w:sz w:val="24"/>
              <w:szCs w:val="24"/>
            </w:rPr>
            <w:t>(NHP, 2002)</w:t>
          </w:r>
          <w:r w:rsidR="00D20074" w:rsidRPr="006A68A4">
            <w:rPr>
              <w:rFonts w:asciiTheme="majorHAnsi" w:hAnsiTheme="majorHAnsi" w:cstheme="minorHAnsi"/>
              <w:sz w:val="24"/>
              <w:szCs w:val="24"/>
            </w:rPr>
            <w:fldChar w:fldCharType="end"/>
          </w:r>
        </w:sdtContent>
      </w:sdt>
      <w:r w:rsidRPr="006A68A4">
        <w:rPr>
          <w:rFonts w:asciiTheme="majorHAnsi" w:hAnsiTheme="majorHAnsi" w:cstheme="minorHAnsi"/>
          <w:sz w:val="24"/>
          <w:szCs w:val="24"/>
        </w:rPr>
        <w:t xml:space="preserve">. It is also seen that programs for whom there is no vertical delivery structure cease to operate at all. Therefore, the National Rural Health Mission made an attempt to integrate all vertical disease control programs under one common umbrella </w:t>
      </w:r>
      <w:sdt>
        <w:sdtPr>
          <w:rPr>
            <w:rFonts w:asciiTheme="majorHAnsi" w:hAnsiTheme="majorHAnsi" w:cstheme="minorHAnsi"/>
            <w:sz w:val="24"/>
            <w:szCs w:val="24"/>
          </w:rPr>
          <w:id w:val="16447674"/>
          <w:citation/>
        </w:sdtPr>
        <w:sdtContent>
          <w:r w:rsidR="00D20074" w:rsidRPr="006A68A4">
            <w:rPr>
              <w:rFonts w:asciiTheme="majorHAnsi" w:hAnsiTheme="majorHAnsi" w:cstheme="minorHAnsi"/>
              <w:sz w:val="24"/>
              <w:szCs w:val="24"/>
            </w:rPr>
            <w:fldChar w:fldCharType="begin"/>
          </w:r>
          <w:r w:rsidRPr="006A68A4">
            <w:rPr>
              <w:rFonts w:asciiTheme="majorHAnsi" w:hAnsiTheme="majorHAnsi" w:cstheme="minorHAnsi"/>
              <w:sz w:val="24"/>
              <w:szCs w:val="24"/>
            </w:rPr>
            <w:instrText xml:space="preserve"> CITATION GoI052 \l 1033 </w:instrText>
          </w:r>
          <w:r w:rsidR="00D20074" w:rsidRPr="006A68A4">
            <w:rPr>
              <w:rFonts w:asciiTheme="majorHAnsi" w:hAnsiTheme="majorHAnsi" w:cstheme="minorHAnsi"/>
              <w:sz w:val="24"/>
              <w:szCs w:val="24"/>
            </w:rPr>
            <w:fldChar w:fldCharType="separate"/>
          </w:r>
          <w:r w:rsidRPr="006A68A4">
            <w:rPr>
              <w:rFonts w:asciiTheme="majorHAnsi" w:hAnsiTheme="majorHAnsi" w:cstheme="minorHAnsi"/>
              <w:noProof/>
              <w:sz w:val="24"/>
              <w:szCs w:val="24"/>
            </w:rPr>
            <w:t>(NRHM, 2005)</w:t>
          </w:r>
          <w:r w:rsidR="00D20074" w:rsidRPr="006A68A4">
            <w:rPr>
              <w:rFonts w:asciiTheme="majorHAnsi" w:hAnsiTheme="majorHAnsi" w:cstheme="minorHAnsi"/>
              <w:sz w:val="24"/>
              <w:szCs w:val="24"/>
            </w:rPr>
            <w:fldChar w:fldCharType="end"/>
          </w:r>
        </w:sdtContent>
      </w:sdt>
      <w:r w:rsidRPr="006A68A4">
        <w:rPr>
          <w:rFonts w:asciiTheme="majorHAnsi" w:hAnsiTheme="majorHAnsi" w:cstheme="minorHAnsi"/>
          <w:sz w:val="24"/>
          <w:szCs w:val="24"/>
        </w:rPr>
        <w:t xml:space="preserve">. The aim was to optimize resources and strengthen the public health system. This marks the beginning of a holistic approach to health care, aiming at strengthening of health systems. Currently, five programs come under the ambit of NRHM, namely, the Revised National Tuberculosis Control Program, the National Vector Borne Disease Control Program, National Leprosy </w:t>
      </w:r>
      <w:r w:rsidRPr="006A68A4">
        <w:rPr>
          <w:rFonts w:asciiTheme="majorHAnsi" w:hAnsiTheme="majorHAnsi" w:cstheme="minorHAnsi"/>
          <w:sz w:val="24"/>
          <w:szCs w:val="24"/>
        </w:rPr>
        <w:lastRenderedPageBreak/>
        <w:t xml:space="preserve">Elimination Program, the Integrated Disease Surveillance Program, and the National Program for the Control of Blindness. The mechanism for this integration is by bringing their fund flow and management under the state and district health societies. However, their vertical supervisory structures are yet to be completely integrated. Integration would also bring flexibility in order to adapt to local needs </w:t>
      </w:r>
      <w:sdt>
        <w:sdtPr>
          <w:rPr>
            <w:rFonts w:asciiTheme="majorHAnsi" w:hAnsiTheme="majorHAnsi" w:cstheme="minorHAnsi"/>
            <w:sz w:val="24"/>
            <w:szCs w:val="24"/>
          </w:rPr>
          <w:id w:val="18513591"/>
          <w:citation/>
        </w:sdtPr>
        <w:sdtContent>
          <w:r w:rsidR="00D20074" w:rsidRPr="006A68A4">
            <w:rPr>
              <w:rFonts w:asciiTheme="majorHAnsi" w:hAnsiTheme="majorHAnsi" w:cstheme="minorHAnsi"/>
              <w:sz w:val="24"/>
              <w:szCs w:val="24"/>
            </w:rPr>
            <w:fldChar w:fldCharType="begin"/>
          </w:r>
          <w:r w:rsidRPr="006A68A4">
            <w:rPr>
              <w:rFonts w:asciiTheme="majorHAnsi" w:hAnsiTheme="majorHAnsi" w:cstheme="minorHAnsi"/>
              <w:sz w:val="24"/>
              <w:szCs w:val="24"/>
            </w:rPr>
            <w:instrText xml:space="preserve"> CITATION Pla11 \l 1033  </w:instrText>
          </w:r>
          <w:r w:rsidR="00D20074" w:rsidRPr="006A68A4">
            <w:rPr>
              <w:rFonts w:asciiTheme="majorHAnsi" w:hAnsiTheme="majorHAnsi" w:cstheme="minorHAnsi"/>
              <w:sz w:val="24"/>
              <w:szCs w:val="24"/>
            </w:rPr>
            <w:fldChar w:fldCharType="separate"/>
          </w:r>
          <w:r w:rsidRPr="006A68A4">
            <w:rPr>
              <w:rFonts w:asciiTheme="majorHAnsi" w:hAnsiTheme="majorHAnsi" w:cstheme="minorHAnsi"/>
              <w:noProof/>
              <w:sz w:val="24"/>
              <w:szCs w:val="24"/>
            </w:rPr>
            <w:t>(WG NRHM,XII FYP, 2011)</w:t>
          </w:r>
          <w:r w:rsidR="00D20074" w:rsidRPr="006A68A4">
            <w:rPr>
              <w:rFonts w:asciiTheme="majorHAnsi" w:hAnsiTheme="majorHAnsi" w:cstheme="minorHAnsi"/>
              <w:sz w:val="24"/>
              <w:szCs w:val="24"/>
            </w:rPr>
            <w:fldChar w:fldCharType="end"/>
          </w:r>
        </w:sdtContent>
      </w:sdt>
      <w:r w:rsidRPr="006A68A4">
        <w:rPr>
          <w:rFonts w:asciiTheme="majorHAnsi" w:hAnsiTheme="majorHAnsi" w:cstheme="minorHAnsi"/>
          <w:sz w:val="24"/>
          <w:szCs w:val="24"/>
        </w:rPr>
        <w:t xml:space="preserve">. </w:t>
      </w:r>
    </w:p>
    <w:p w:rsidR="00502B27" w:rsidRPr="006A68A4" w:rsidRDefault="00502B27" w:rsidP="006A68A4">
      <w:pPr>
        <w:spacing w:line="264" w:lineRule="auto"/>
        <w:contextualSpacing/>
        <w:jc w:val="both"/>
        <w:rPr>
          <w:rFonts w:asciiTheme="majorHAnsi" w:hAnsiTheme="majorHAnsi" w:cstheme="minorHAnsi"/>
          <w:sz w:val="24"/>
          <w:szCs w:val="24"/>
        </w:rPr>
      </w:pPr>
    </w:p>
    <w:p w:rsidR="006A68A4" w:rsidRPr="006A68A4" w:rsidRDefault="006A68A4" w:rsidP="006A68A4">
      <w:pPr>
        <w:spacing w:line="264" w:lineRule="auto"/>
        <w:contextualSpacing/>
        <w:jc w:val="both"/>
        <w:rPr>
          <w:rFonts w:asciiTheme="majorHAnsi" w:hAnsiTheme="majorHAnsi" w:cstheme="minorHAnsi"/>
          <w:sz w:val="24"/>
          <w:szCs w:val="24"/>
        </w:rPr>
      </w:pPr>
      <w:r w:rsidRPr="006A68A4">
        <w:rPr>
          <w:rFonts w:asciiTheme="majorHAnsi" w:hAnsiTheme="majorHAnsi" w:cstheme="minorHAnsi"/>
          <w:sz w:val="24"/>
          <w:szCs w:val="24"/>
        </w:rPr>
        <w:t xml:space="preserve">The NUHM would also leverage the structures of NRHM for implementation. The Mission would be strengthened at various levels in order to operationalize NUHM </w:t>
      </w:r>
      <w:sdt>
        <w:sdtPr>
          <w:rPr>
            <w:rFonts w:asciiTheme="majorHAnsi" w:hAnsiTheme="majorHAnsi" w:cstheme="minorHAnsi"/>
            <w:sz w:val="24"/>
            <w:szCs w:val="24"/>
          </w:rPr>
          <w:id w:val="16447675"/>
          <w:citation/>
        </w:sdtPr>
        <w:sdtContent>
          <w:r w:rsidR="00D20074" w:rsidRPr="006A68A4">
            <w:rPr>
              <w:rFonts w:asciiTheme="majorHAnsi" w:hAnsiTheme="majorHAnsi" w:cstheme="minorHAnsi"/>
              <w:sz w:val="24"/>
              <w:szCs w:val="24"/>
            </w:rPr>
            <w:fldChar w:fldCharType="begin"/>
          </w:r>
          <w:r w:rsidRPr="006A68A4">
            <w:rPr>
              <w:rFonts w:asciiTheme="majorHAnsi" w:hAnsiTheme="majorHAnsi" w:cstheme="minorHAnsi"/>
              <w:sz w:val="24"/>
              <w:szCs w:val="24"/>
            </w:rPr>
            <w:instrText xml:space="preserve"> CITATION MoH12 \l 1033 </w:instrText>
          </w:r>
          <w:r w:rsidR="00D20074" w:rsidRPr="006A68A4">
            <w:rPr>
              <w:rFonts w:asciiTheme="majorHAnsi" w:hAnsiTheme="majorHAnsi" w:cstheme="minorHAnsi"/>
              <w:sz w:val="24"/>
              <w:szCs w:val="24"/>
            </w:rPr>
            <w:fldChar w:fldCharType="separate"/>
          </w:r>
          <w:r w:rsidRPr="006A68A4">
            <w:rPr>
              <w:rFonts w:asciiTheme="majorHAnsi" w:hAnsiTheme="majorHAnsi" w:cstheme="minorHAnsi"/>
              <w:noProof/>
              <w:sz w:val="24"/>
              <w:szCs w:val="24"/>
            </w:rPr>
            <w:t>(NUHM, 2012)</w:t>
          </w:r>
          <w:r w:rsidR="00D20074" w:rsidRPr="006A68A4">
            <w:rPr>
              <w:rFonts w:asciiTheme="majorHAnsi" w:hAnsiTheme="majorHAnsi" w:cstheme="minorHAnsi"/>
              <w:sz w:val="24"/>
              <w:szCs w:val="24"/>
            </w:rPr>
            <w:fldChar w:fldCharType="end"/>
          </w:r>
        </w:sdtContent>
      </w:sdt>
      <w:r w:rsidRPr="006A68A4">
        <w:rPr>
          <w:rFonts w:asciiTheme="majorHAnsi" w:hAnsiTheme="majorHAnsi" w:cstheme="minorHAnsi"/>
          <w:sz w:val="24"/>
          <w:szCs w:val="24"/>
        </w:rPr>
        <w:t>. Integration with NRHM would mean that the structures already existing can be strengthened and utilized. While NRHM has integrated the vertical programs to a certain extent, NUHM could take that further. NUHM intends to provide a system of convergence for all communicable and non-communicable disease programs including HIV/AIDS through integrated planning at city level. It would promote the role of ULBs in managing urban health programs. Thus, planning could be city specific and according to local needs. The U-PHC would be the hub of all programs, and all activities would emanate from it.</w:t>
      </w:r>
    </w:p>
    <w:p w:rsidR="00502B27" w:rsidRDefault="00502B27" w:rsidP="006A68A4">
      <w:pPr>
        <w:spacing w:line="264" w:lineRule="auto"/>
        <w:contextualSpacing/>
        <w:jc w:val="both"/>
        <w:rPr>
          <w:rFonts w:asciiTheme="majorHAnsi" w:eastAsia="Calibri" w:hAnsiTheme="majorHAnsi" w:cstheme="minorHAnsi"/>
          <w:sz w:val="24"/>
          <w:szCs w:val="24"/>
        </w:rPr>
      </w:pPr>
    </w:p>
    <w:p w:rsidR="006A68A4" w:rsidRDefault="00502B27" w:rsidP="006A68A4">
      <w:pPr>
        <w:spacing w:line="264" w:lineRule="auto"/>
        <w:contextualSpacing/>
        <w:jc w:val="both"/>
        <w:rPr>
          <w:rFonts w:asciiTheme="majorHAnsi" w:hAnsiTheme="majorHAnsi" w:cstheme="minorHAnsi"/>
          <w:b/>
          <w:bCs/>
          <w:sz w:val="24"/>
          <w:szCs w:val="24"/>
        </w:rPr>
      </w:pPr>
      <w:r w:rsidRPr="00502B27">
        <w:rPr>
          <w:rFonts w:asciiTheme="majorHAnsi" w:eastAsia="Calibri" w:hAnsiTheme="majorHAnsi" w:cstheme="minorHAnsi"/>
          <w:b/>
          <w:sz w:val="24"/>
          <w:szCs w:val="24"/>
        </w:rPr>
        <w:t xml:space="preserve">TOR Question 7: </w:t>
      </w:r>
      <w:r w:rsidR="006A68A4" w:rsidRPr="00502B27">
        <w:rPr>
          <w:rFonts w:asciiTheme="majorHAnsi" w:hAnsiTheme="majorHAnsi" w:cstheme="minorHAnsi"/>
          <w:b/>
          <w:bCs/>
          <w:sz w:val="24"/>
          <w:szCs w:val="24"/>
        </w:rPr>
        <w:t>What should be the linkage of UHM primary health institutions with, and role in UHM of</w:t>
      </w:r>
      <w:r w:rsidR="006A68A4" w:rsidRPr="006A68A4">
        <w:rPr>
          <w:rFonts w:asciiTheme="majorHAnsi" w:hAnsiTheme="majorHAnsi" w:cstheme="minorHAnsi"/>
          <w:b/>
          <w:bCs/>
          <w:sz w:val="24"/>
          <w:szCs w:val="24"/>
        </w:rPr>
        <w:t>, Community Health Departments of medical colleges, public and private, located in these cities, and of public secondary and tertiary care hospitals? What should be the systems of referral to these various levels?</w:t>
      </w:r>
    </w:p>
    <w:p w:rsidR="00502B27" w:rsidRPr="006A68A4" w:rsidRDefault="00502B27" w:rsidP="006A68A4">
      <w:pPr>
        <w:spacing w:line="264" w:lineRule="auto"/>
        <w:contextualSpacing/>
        <w:jc w:val="both"/>
        <w:rPr>
          <w:rFonts w:asciiTheme="majorHAnsi" w:hAnsiTheme="majorHAnsi" w:cstheme="minorHAnsi"/>
          <w:b/>
          <w:bCs/>
          <w:sz w:val="24"/>
          <w:szCs w:val="24"/>
        </w:rPr>
      </w:pPr>
    </w:p>
    <w:p w:rsidR="006A68A4" w:rsidRDefault="006A68A4" w:rsidP="006A68A4">
      <w:pPr>
        <w:spacing w:line="264" w:lineRule="auto"/>
        <w:contextualSpacing/>
        <w:jc w:val="both"/>
        <w:rPr>
          <w:rFonts w:asciiTheme="majorHAnsi" w:hAnsiTheme="majorHAnsi" w:cstheme="minorHAnsi"/>
          <w:sz w:val="24"/>
          <w:szCs w:val="24"/>
        </w:rPr>
      </w:pPr>
      <w:r w:rsidRPr="006A68A4">
        <w:rPr>
          <w:rFonts w:asciiTheme="majorHAnsi" w:hAnsiTheme="majorHAnsi" w:cstheme="minorHAnsi"/>
          <w:sz w:val="24"/>
          <w:szCs w:val="24"/>
        </w:rPr>
        <w:t xml:space="preserve">Tertiary care in our country, provided by public and private teaching hospitals, is also a fraction of what it should actually be. At present, the tertiary care institutions are </w:t>
      </w:r>
      <w:r w:rsidR="00B60A4B" w:rsidRPr="006A68A4">
        <w:rPr>
          <w:rFonts w:asciiTheme="majorHAnsi" w:hAnsiTheme="majorHAnsi" w:cstheme="minorHAnsi"/>
          <w:sz w:val="24"/>
          <w:szCs w:val="24"/>
        </w:rPr>
        <w:t>overburdened</w:t>
      </w:r>
      <w:r w:rsidRPr="006A68A4">
        <w:rPr>
          <w:rFonts w:asciiTheme="majorHAnsi" w:hAnsiTheme="majorHAnsi" w:cstheme="minorHAnsi"/>
          <w:sz w:val="24"/>
          <w:szCs w:val="24"/>
        </w:rPr>
        <w:t xml:space="preserve"> and aloof from primary health care services. There are absolutely no linkages between them and the state’s public health system. These linkages, however, need to be established. The primary and secondary rung of institutions need to be strengthened, so that the burden of tertiary institutions decreases, and their Community Health Departments can provide expertise and advice to the public health care system </w:t>
      </w:r>
      <w:sdt>
        <w:sdtPr>
          <w:rPr>
            <w:rFonts w:asciiTheme="majorHAnsi" w:hAnsiTheme="majorHAnsi" w:cstheme="minorHAnsi"/>
            <w:sz w:val="24"/>
            <w:szCs w:val="24"/>
          </w:rPr>
          <w:id w:val="16447682"/>
          <w:citation/>
        </w:sdtPr>
        <w:sdtContent>
          <w:r w:rsidR="00D20074" w:rsidRPr="006A68A4">
            <w:rPr>
              <w:rFonts w:asciiTheme="majorHAnsi" w:hAnsiTheme="majorHAnsi" w:cstheme="minorHAnsi"/>
              <w:sz w:val="24"/>
              <w:szCs w:val="24"/>
            </w:rPr>
            <w:fldChar w:fldCharType="begin"/>
          </w:r>
          <w:r w:rsidRPr="006A68A4">
            <w:rPr>
              <w:rFonts w:asciiTheme="majorHAnsi" w:hAnsiTheme="majorHAnsi" w:cstheme="minorHAnsi"/>
              <w:sz w:val="24"/>
              <w:szCs w:val="24"/>
            </w:rPr>
            <w:instrText xml:space="preserve"> CITATION XII12 \l 1033 </w:instrText>
          </w:r>
          <w:r w:rsidR="00D20074" w:rsidRPr="006A68A4">
            <w:rPr>
              <w:rFonts w:asciiTheme="majorHAnsi" w:hAnsiTheme="majorHAnsi" w:cstheme="minorHAnsi"/>
              <w:sz w:val="24"/>
              <w:szCs w:val="24"/>
            </w:rPr>
            <w:fldChar w:fldCharType="separate"/>
          </w:r>
          <w:r w:rsidRPr="006A68A4">
            <w:rPr>
              <w:rFonts w:asciiTheme="majorHAnsi" w:hAnsiTheme="majorHAnsi" w:cstheme="minorHAnsi"/>
              <w:noProof/>
              <w:sz w:val="24"/>
              <w:szCs w:val="24"/>
            </w:rPr>
            <w:t>(XIIth Plan, 2012)</w:t>
          </w:r>
          <w:r w:rsidR="00D20074" w:rsidRPr="006A68A4">
            <w:rPr>
              <w:rFonts w:asciiTheme="majorHAnsi" w:hAnsiTheme="majorHAnsi" w:cstheme="minorHAnsi"/>
              <w:sz w:val="24"/>
              <w:szCs w:val="24"/>
            </w:rPr>
            <w:fldChar w:fldCharType="end"/>
          </w:r>
        </w:sdtContent>
      </w:sdt>
      <w:r w:rsidRPr="006A68A4">
        <w:rPr>
          <w:rFonts w:asciiTheme="majorHAnsi" w:hAnsiTheme="majorHAnsi" w:cstheme="minorHAnsi"/>
          <w:sz w:val="24"/>
          <w:szCs w:val="24"/>
        </w:rPr>
        <w:t xml:space="preserve">. The public tertiary care institutions too need to be strengthened and expanded, in order to meet the needs of referrals and more specialized care. Patients would be diagnosed and treated at primary and secondary level institutions, taking skilled advice from the tertiary providers. This link could be established using tele-networking. The tertiary institutions would also get the opportunity to monitor and conduct epidemiological research on health events in the population. The Comprehensive Rural Health Services Project, Ballabhgarh, run by AIIMS, is a good example of a primary-tertiary facility linkage, which can be replicated elsewhere </w:t>
      </w:r>
      <w:sdt>
        <w:sdtPr>
          <w:rPr>
            <w:rFonts w:asciiTheme="majorHAnsi" w:hAnsiTheme="majorHAnsi" w:cstheme="minorHAnsi"/>
            <w:sz w:val="24"/>
            <w:szCs w:val="24"/>
          </w:rPr>
          <w:id w:val="3014413"/>
          <w:citation/>
        </w:sdtPr>
        <w:sdtContent>
          <w:r w:rsidR="00D20074" w:rsidRPr="006A68A4">
            <w:rPr>
              <w:rFonts w:asciiTheme="majorHAnsi" w:hAnsiTheme="majorHAnsi" w:cstheme="minorHAnsi"/>
              <w:sz w:val="24"/>
              <w:szCs w:val="24"/>
            </w:rPr>
            <w:fldChar w:fldCharType="begin"/>
          </w:r>
          <w:r w:rsidRPr="006A68A4">
            <w:rPr>
              <w:rFonts w:asciiTheme="majorHAnsi" w:hAnsiTheme="majorHAnsi" w:cstheme="minorHAnsi"/>
              <w:sz w:val="24"/>
              <w:szCs w:val="24"/>
            </w:rPr>
            <w:instrText xml:space="preserve"> CITATION XII12 \l 1033 </w:instrText>
          </w:r>
          <w:r w:rsidR="00D20074" w:rsidRPr="006A68A4">
            <w:rPr>
              <w:rFonts w:asciiTheme="majorHAnsi" w:hAnsiTheme="majorHAnsi" w:cstheme="minorHAnsi"/>
              <w:sz w:val="24"/>
              <w:szCs w:val="24"/>
            </w:rPr>
            <w:fldChar w:fldCharType="separate"/>
          </w:r>
          <w:r w:rsidRPr="006A68A4">
            <w:rPr>
              <w:rFonts w:asciiTheme="majorHAnsi" w:hAnsiTheme="majorHAnsi" w:cstheme="minorHAnsi"/>
              <w:noProof/>
              <w:sz w:val="24"/>
              <w:szCs w:val="24"/>
            </w:rPr>
            <w:t>(XIIth Plan, 2012)</w:t>
          </w:r>
          <w:r w:rsidR="00D20074" w:rsidRPr="006A68A4">
            <w:rPr>
              <w:rFonts w:asciiTheme="majorHAnsi" w:hAnsiTheme="majorHAnsi" w:cstheme="minorHAnsi"/>
              <w:sz w:val="24"/>
              <w:szCs w:val="24"/>
            </w:rPr>
            <w:fldChar w:fldCharType="end"/>
          </w:r>
        </w:sdtContent>
      </w:sdt>
      <w:r w:rsidRPr="006A68A4">
        <w:rPr>
          <w:rFonts w:asciiTheme="majorHAnsi" w:hAnsiTheme="majorHAnsi" w:cstheme="minorHAnsi"/>
          <w:sz w:val="24"/>
          <w:szCs w:val="24"/>
        </w:rPr>
        <w:t xml:space="preserve">. District hospitals could also be linked with Medical Colleges for tertiary referral services </w:t>
      </w:r>
      <w:sdt>
        <w:sdtPr>
          <w:rPr>
            <w:rFonts w:asciiTheme="majorHAnsi" w:hAnsiTheme="majorHAnsi" w:cstheme="minorHAnsi"/>
            <w:sz w:val="24"/>
            <w:szCs w:val="24"/>
          </w:rPr>
          <w:id w:val="6276638"/>
          <w:citation/>
        </w:sdtPr>
        <w:sdtContent>
          <w:r w:rsidR="00D20074" w:rsidRPr="006A68A4">
            <w:rPr>
              <w:rFonts w:asciiTheme="majorHAnsi" w:hAnsiTheme="majorHAnsi" w:cstheme="minorHAnsi"/>
              <w:sz w:val="24"/>
              <w:szCs w:val="24"/>
            </w:rPr>
            <w:fldChar w:fldCharType="begin"/>
          </w:r>
          <w:r w:rsidRPr="006A68A4">
            <w:rPr>
              <w:rFonts w:asciiTheme="majorHAnsi" w:hAnsiTheme="majorHAnsi" w:cstheme="minorHAnsi"/>
              <w:sz w:val="24"/>
              <w:szCs w:val="24"/>
            </w:rPr>
            <w:instrText xml:space="preserve"> CITATION Pla111 \l 1033  </w:instrText>
          </w:r>
          <w:r w:rsidR="00D20074" w:rsidRPr="006A68A4">
            <w:rPr>
              <w:rFonts w:asciiTheme="majorHAnsi" w:hAnsiTheme="majorHAnsi" w:cstheme="minorHAnsi"/>
              <w:sz w:val="24"/>
              <w:szCs w:val="24"/>
            </w:rPr>
            <w:fldChar w:fldCharType="separate"/>
          </w:r>
          <w:r w:rsidRPr="006A68A4">
            <w:rPr>
              <w:rFonts w:asciiTheme="majorHAnsi" w:hAnsiTheme="majorHAnsi" w:cstheme="minorHAnsi"/>
              <w:noProof/>
              <w:sz w:val="24"/>
              <w:szCs w:val="24"/>
            </w:rPr>
            <w:t>(WG Tertiary care XIIth FYP, 2011)</w:t>
          </w:r>
          <w:r w:rsidR="00D20074" w:rsidRPr="006A68A4">
            <w:rPr>
              <w:rFonts w:asciiTheme="majorHAnsi" w:hAnsiTheme="majorHAnsi" w:cstheme="minorHAnsi"/>
              <w:sz w:val="24"/>
              <w:szCs w:val="24"/>
            </w:rPr>
            <w:fldChar w:fldCharType="end"/>
          </w:r>
        </w:sdtContent>
      </w:sdt>
      <w:r w:rsidRPr="006A68A4">
        <w:rPr>
          <w:rFonts w:asciiTheme="majorHAnsi" w:hAnsiTheme="majorHAnsi" w:cstheme="minorHAnsi"/>
          <w:sz w:val="24"/>
          <w:szCs w:val="24"/>
        </w:rPr>
        <w:t>. The Medical Colleges could use the district health system for training their students. This would provide the much needed orientation towards public health services.</w:t>
      </w:r>
    </w:p>
    <w:p w:rsidR="00502B27" w:rsidRPr="006A68A4" w:rsidRDefault="00502B27" w:rsidP="006A68A4">
      <w:pPr>
        <w:spacing w:line="264" w:lineRule="auto"/>
        <w:contextualSpacing/>
        <w:jc w:val="both"/>
        <w:rPr>
          <w:rFonts w:asciiTheme="majorHAnsi" w:hAnsiTheme="majorHAnsi" w:cstheme="minorHAnsi"/>
          <w:sz w:val="24"/>
          <w:szCs w:val="24"/>
        </w:rPr>
      </w:pPr>
    </w:p>
    <w:p w:rsidR="006A68A4" w:rsidRPr="006A68A4" w:rsidRDefault="006A68A4" w:rsidP="006A68A4">
      <w:pPr>
        <w:spacing w:line="264" w:lineRule="auto"/>
        <w:contextualSpacing/>
        <w:jc w:val="both"/>
        <w:rPr>
          <w:rFonts w:asciiTheme="majorHAnsi" w:hAnsiTheme="majorHAnsi" w:cstheme="minorHAnsi"/>
          <w:sz w:val="24"/>
          <w:szCs w:val="24"/>
        </w:rPr>
      </w:pPr>
      <w:r w:rsidRPr="006A68A4">
        <w:rPr>
          <w:rFonts w:asciiTheme="majorHAnsi" w:hAnsiTheme="majorHAnsi" w:cstheme="minorHAnsi"/>
          <w:sz w:val="24"/>
          <w:szCs w:val="24"/>
        </w:rPr>
        <w:lastRenderedPageBreak/>
        <w:t xml:space="preserve">Healthcare should be delivered in the form of a continuum, with linkages between the different levels of care. The primary, secondary and tertiary levels should be functionally linked and work together to maximize patient benefit. This can be operationalised by means of an effective referral transport and a functional referral chain </w:t>
      </w:r>
      <w:sdt>
        <w:sdtPr>
          <w:rPr>
            <w:rFonts w:asciiTheme="majorHAnsi" w:hAnsiTheme="majorHAnsi" w:cstheme="minorHAnsi"/>
            <w:sz w:val="24"/>
            <w:szCs w:val="24"/>
          </w:rPr>
          <w:id w:val="16447681"/>
          <w:citation/>
        </w:sdtPr>
        <w:sdtContent>
          <w:r w:rsidR="00D20074" w:rsidRPr="006A68A4">
            <w:rPr>
              <w:rFonts w:asciiTheme="majorHAnsi" w:hAnsiTheme="majorHAnsi" w:cstheme="minorHAnsi"/>
              <w:sz w:val="24"/>
              <w:szCs w:val="24"/>
            </w:rPr>
            <w:fldChar w:fldCharType="begin"/>
          </w:r>
          <w:r w:rsidRPr="006A68A4">
            <w:rPr>
              <w:rFonts w:asciiTheme="majorHAnsi" w:hAnsiTheme="majorHAnsi" w:cstheme="minorHAnsi"/>
              <w:sz w:val="24"/>
              <w:szCs w:val="24"/>
            </w:rPr>
            <w:instrText xml:space="preserve"> CITATION XII12 \l 1033 </w:instrText>
          </w:r>
          <w:r w:rsidR="00D20074" w:rsidRPr="006A68A4">
            <w:rPr>
              <w:rFonts w:asciiTheme="majorHAnsi" w:hAnsiTheme="majorHAnsi" w:cstheme="minorHAnsi"/>
              <w:sz w:val="24"/>
              <w:szCs w:val="24"/>
            </w:rPr>
            <w:fldChar w:fldCharType="separate"/>
          </w:r>
          <w:r w:rsidRPr="006A68A4">
            <w:rPr>
              <w:rFonts w:asciiTheme="majorHAnsi" w:hAnsiTheme="majorHAnsi" w:cstheme="minorHAnsi"/>
              <w:noProof/>
              <w:sz w:val="24"/>
              <w:szCs w:val="24"/>
            </w:rPr>
            <w:t>(XIIth Plan, 2012)</w:t>
          </w:r>
          <w:r w:rsidR="00D20074" w:rsidRPr="006A68A4">
            <w:rPr>
              <w:rFonts w:asciiTheme="majorHAnsi" w:hAnsiTheme="majorHAnsi" w:cstheme="minorHAnsi"/>
              <w:sz w:val="24"/>
              <w:szCs w:val="24"/>
            </w:rPr>
            <w:fldChar w:fldCharType="end"/>
          </w:r>
        </w:sdtContent>
      </w:sdt>
      <w:r w:rsidRPr="006A68A4">
        <w:rPr>
          <w:rFonts w:asciiTheme="majorHAnsi" w:hAnsiTheme="majorHAnsi" w:cstheme="minorHAnsi"/>
          <w:sz w:val="24"/>
          <w:szCs w:val="24"/>
        </w:rPr>
        <w:t xml:space="preserve">. </w:t>
      </w:r>
    </w:p>
    <w:p w:rsidR="006A68A4" w:rsidRPr="006A68A4" w:rsidRDefault="006A68A4" w:rsidP="006A68A4">
      <w:pPr>
        <w:spacing w:line="264" w:lineRule="auto"/>
        <w:contextualSpacing/>
        <w:jc w:val="both"/>
        <w:rPr>
          <w:rFonts w:asciiTheme="majorHAnsi" w:hAnsiTheme="majorHAnsi" w:cstheme="minorHAnsi"/>
          <w:sz w:val="24"/>
          <w:szCs w:val="24"/>
        </w:rPr>
      </w:pPr>
    </w:p>
    <w:p w:rsidR="006A68A4" w:rsidRDefault="00502B27" w:rsidP="006A68A4">
      <w:pPr>
        <w:spacing w:line="264" w:lineRule="auto"/>
        <w:contextualSpacing/>
        <w:jc w:val="both"/>
        <w:rPr>
          <w:rFonts w:asciiTheme="majorHAnsi" w:hAnsiTheme="majorHAnsi" w:cstheme="minorHAnsi"/>
          <w:b/>
          <w:bCs/>
          <w:sz w:val="24"/>
          <w:szCs w:val="24"/>
        </w:rPr>
      </w:pPr>
      <w:r>
        <w:rPr>
          <w:rFonts w:asciiTheme="majorHAnsi" w:hAnsiTheme="majorHAnsi" w:cstheme="minorHAnsi"/>
          <w:b/>
          <w:bCs/>
          <w:sz w:val="24"/>
          <w:szCs w:val="24"/>
        </w:rPr>
        <w:t xml:space="preserve">TOR Question 8: </w:t>
      </w:r>
      <w:r w:rsidR="006A68A4" w:rsidRPr="006A68A4">
        <w:rPr>
          <w:rFonts w:asciiTheme="majorHAnsi" w:hAnsiTheme="majorHAnsi" w:cstheme="minorHAnsi"/>
          <w:b/>
          <w:bCs/>
          <w:sz w:val="24"/>
          <w:szCs w:val="24"/>
        </w:rPr>
        <w:t> What are the current official departments and agencies to deliver health services at various levels (such as municipal, state and central governments, state health and medical education departments, National Health Mission, and so on)? Do they work with adequate coordination, or does this need greater integration?</w:t>
      </w:r>
    </w:p>
    <w:p w:rsidR="00502B27" w:rsidRPr="006A68A4" w:rsidRDefault="00502B27" w:rsidP="006A68A4">
      <w:pPr>
        <w:spacing w:line="264" w:lineRule="auto"/>
        <w:contextualSpacing/>
        <w:jc w:val="both"/>
        <w:rPr>
          <w:rFonts w:asciiTheme="majorHAnsi" w:hAnsiTheme="majorHAnsi" w:cstheme="minorHAnsi"/>
          <w:b/>
          <w:bCs/>
          <w:sz w:val="24"/>
          <w:szCs w:val="24"/>
        </w:rPr>
      </w:pPr>
    </w:p>
    <w:p w:rsidR="006A68A4" w:rsidRDefault="006A68A4" w:rsidP="006A68A4">
      <w:pPr>
        <w:spacing w:line="264" w:lineRule="auto"/>
        <w:contextualSpacing/>
        <w:jc w:val="both"/>
        <w:rPr>
          <w:rFonts w:asciiTheme="majorHAnsi" w:hAnsiTheme="majorHAnsi" w:cstheme="minorHAnsi"/>
          <w:sz w:val="24"/>
          <w:szCs w:val="24"/>
        </w:rPr>
      </w:pPr>
      <w:r w:rsidRPr="006A68A4">
        <w:rPr>
          <w:rFonts w:asciiTheme="majorHAnsi" w:hAnsiTheme="majorHAnsi" w:cstheme="minorHAnsi"/>
          <w:sz w:val="24"/>
          <w:szCs w:val="24"/>
        </w:rPr>
        <w:t>The Constitution of India mandates that the responsibility of public health, sanitation, maintenance of hospitals and dispensaries be taken care of by the state and local governments. The Union Government looks after regulation of food, drugs, the medical profession, human resources in health, vital statistics etc. and provides support to the states and local bodies. This is reflected in the way our health systems are functioning</w:t>
      </w:r>
      <w:sdt>
        <w:sdtPr>
          <w:rPr>
            <w:rFonts w:asciiTheme="majorHAnsi" w:hAnsiTheme="majorHAnsi" w:cstheme="minorHAnsi"/>
            <w:sz w:val="24"/>
            <w:szCs w:val="24"/>
          </w:rPr>
          <w:id w:val="16447670"/>
          <w:citation/>
        </w:sdtPr>
        <w:sdtContent>
          <w:r w:rsidR="00D20074" w:rsidRPr="006A68A4">
            <w:rPr>
              <w:rFonts w:asciiTheme="majorHAnsi" w:hAnsiTheme="majorHAnsi" w:cstheme="minorHAnsi"/>
              <w:sz w:val="24"/>
              <w:szCs w:val="24"/>
            </w:rPr>
            <w:fldChar w:fldCharType="begin"/>
          </w:r>
          <w:r w:rsidRPr="006A68A4">
            <w:rPr>
              <w:rFonts w:asciiTheme="majorHAnsi" w:hAnsiTheme="majorHAnsi" w:cstheme="minorHAnsi"/>
              <w:sz w:val="24"/>
              <w:szCs w:val="24"/>
            </w:rPr>
            <w:instrText xml:space="preserve"> CITATION XII12 \l 1033  </w:instrText>
          </w:r>
          <w:r w:rsidR="00D20074" w:rsidRPr="006A68A4">
            <w:rPr>
              <w:rFonts w:asciiTheme="majorHAnsi" w:hAnsiTheme="majorHAnsi" w:cstheme="minorHAnsi"/>
              <w:sz w:val="24"/>
              <w:szCs w:val="24"/>
            </w:rPr>
            <w:fldChar w:fldCharType="separate"/>
          </w:r>
          <w:r w:rsidRPr="006A68A4">
            <w:rPr>
              <w:rFonts w:asciiTheme="majorHAnsi" w:hAnsiTheme="majorHAnsi" w:cstheme="minorHAnsi"/>
              <w:noProof/>
              <w:sz w:val="24"/>
              <w:szCs w:val="24"/>
            </w:rPr>
            <w:t xml:space="preserve"> (XIIth Plan, 2012)</w:t>
          </w:r>
          <w:r w:rsidR="00D20074" w:rsidRPr="006A68A4">
            <w:rPr>
              <w:rFonts w:asciiTheme="majorHAnsi" w:hAnsiTheme="majorHAnsi" w:cstheme="minorHAnsi"/>
              <w:sz w:val="24"/>
              <w:szCs w:val="24"/>
            </w:rPr>
            <w:fldChar w:fldCharType="end"/>
          </w:r>
        </w:sdtContent>
      </w:sdt>
      <w:r w:rsidRPr="006A68A4">
        <w:rPr>
          <w:rFonts w:asciiTheme="majorHAnsi" w:hAnsiTheme="majorHAnsi" w:cstheme="minorHAnsi"/>
          <w:sz w:val="24"/>
          <w:szCs w:val="24"/>
        </w:rPr>
        <w:t xml:space="preserve">. </w:t>
      </w:r>
    </w:p>
    <w:p w:rsidR="00502B27" w:rsidRPr="006A68A4" w:rsidRDefault="00502B27" w:rsidP="006A68A4">
      <w:pPr>
        <w:spacing w:line="264" w:lineRule="auto"/>
        <w:contextualSpacing/>
        <w:jc w:val="both"/>
        <w:rPr>
          <w:rFonts w:asciiTheme="majorHAnsi" w:hAnsiTheme="majorHAnsi" w:cstheme="minorHAnsi"/>
          <w:sz w:val="24"/>
          <w:szCs w:val="24"/>
        </w:rPr>
      </w:pPr>
    </w:p>
    <w:p w:rsidR="006A68A4" w:rsidRDefault="006A68A4" w:rsidP="006A68A4">
      <w:pPr>
        <w:spacing w:line="264" w:lineRule="auto"/>
        <w:contextualSpacing/>
        <w:jc w:val="both"/>
        <w:rPr>
          <w:rFonts w:asciiTheme="majorHAnsi" w:hAnsiTheme="majorHAnsi" w:cstheme="minorHAnsi"/>
          <w:sz w:val="24"/>
          <w:szCs w:val="24"/>
        </w:rPr>
      </w:pPr>
      <w:r w:rsidRPr="006A68A4">
        <w:rPr>
          <w:rFonts w:asciiTheme="majorHAnsi" w:hAnsiTheme="majorHAnsi" w:cstheme="minorHAnsi"/>
          <w:sz w:val="24"/>
          <w:szCs w:val="24"/>
        </w:rPr>
        <w:t xml:space="preserve">Health management becoming increasingly inter-disciplinary, there is a need to create a public health cadre and recruit public health experts in the process. Public health professionals should be placed at the national and state levels, as part of ministries, NHSRC/SHSRCs and NIHFW/SIHFWs. The National Health Policy, 2002, also emphasizes the creation of post graduate seats for ‘a public health cadre’, which could also be open to non-medical personnel like public health engineers </w:t>
      </w:r>
      <w:sdt>
        <w:sdtPr>
          <w:rPr>
            <w:rFonts w:asciiTheme="majorHAnsi" w:hAnsiTheme="majorHAnsi" w:cstheme="minorHAnsi"/>
            <w:sz w:val="24"/>
            <w:szCs w:val="24"/>
          </w:rPr>
          <w:id w:val="2197165"/>
          <w:citation/>
        </w:sdtPr>
        <w:sdtContent>
          <w:r w:rsidR="00D20074" w:rsidRPr="006A68A4">
            <w:rPr>
              <w:rFonts w:asciiTheme="majorHAnsi" w:hAnsiTheme="majorHAnsi" w:cstheme="minorHAnsi"/>
              <w:sz w:val="24"/>
              <w:szCs w:val="24"/>
            </w:rPr>
            <w:fldChar w:fldCharType="begin"/>
          </w:r>
          <w:r w:rsidRPr="006A68A4">
            <w:rPr>
              <w:rFonts w:asciiTheme="majorHAnsi" w:hAnsiTheme="majorHAnsi" w:cstheme="minorHAnsi"/>
              <w:sz w:val="24"/>
              <w:szCs w:val="24"/>
            </w:rPr>
            <w:instrText xml:space="preserve"> CITATION MoH02 \l 1033  </w:instrText>
          </w:r>
          <w:r w:rsidR="00D20074" w:rsidRPr="006A68A4">
            <w:rPr>
              <w:rFonts w:asciiTheme="majorHAnsi" w:hAnsiTheme="majorHAnsi" w:cstheme="minorHAnsi"/>
              <w:sz w:val="24"/>
              <w:szCs w:val="24"/>
            </w:rPr>
            <w:fldChar w:fldCharType="separate"/>
          </w:r>
          <w:r w:rsidRPr="006A68A4">
            <w:rPr>
              <w:rFonts w:asciiTheme="majorHAnsi" w:hAnsiTheme="majorHAnsi" w:cstheme="minorHAnsi"/>
              <w:noProof/>
              <w:sz w:val="24"/>
              <w:szCs w:val="24"/>
            </w:rPr>
            <w:t>(NHP, 2002)</w:t>
          </w:r>
          <w:r w:rsidR="00D20074" w:rsidRPr="006A68A4">
            <w:rPr>
              <w:rFonts w:asciiTheme="majorHAnsi" w:hAnsiTheme="majorHAnsi" w:cstheme="minorHAnsi"/>
              <w:sz w:val="24"/>
              <w:szCs w:val="24"/>
            </w:rPr>
            <w:fldChar w:fldCharType="end"/>
          </w:r>
        </w:sdtContent>
      </w:sdt>
      <w:r w:rsidRPr="006A68A4">
        <w:rPr>
          <w:rFonts w:asciiTheme="majorHAnsi" w:hAnsiTheme="majorHAnsi" w:cstheme="minorHAnsi"/>
          <w:sz w:val="24"/>
          <w:szCs w:val="24"/>
        </w:rPr>
        <w:t>.</w:t>
      </w:r>
    </w:p>
    <w:p w:rsidR="00502B27" w:rsidRPr="006A68A4" w:rsidRDefault="00502B27" w:rsidP="006A68A4">
      <w:pPr>
        <w:spacing w:line="264" w:lineRule="auto"/>
        <w:contextualSpacing/>
        <w:jc w:val="both"/>
        <w:rPr>
          <w:rFonts w:asciiTheme="majorHAnsi" w:hAnsiTheme="majorHAnsi" w:cstheme="minorHAnsi"/>
          <w:sz w:val="24"/>
          <w:szCs w:val="24"/>
        </w:rPr>
      </w:pPr>
    </w:p>
    <w:p w:rsidR="006A68A4" w:rsidRDefault="004936C5" w:rsidP="006A68A4">
      <w:pPr>
        <w:spacing w:line="264" w:lineRule="auto"/>
        <w:contextualSpacing/>
        <w:jc w:val="both"/>
        <w:rPr>
          <w:rFonts w:asciiTheme="majorHAnsi" w:hAnsiTheme="majorHAnsi" w:cstheme="minorHAnsi"/>
          <w:b/>
          <w:bCs/>
          <w:sz w:val="24"/>
          <w:szCs w:val="24"/>
        </w:rPr>
      </w:pPr>
      <w:r>
        <w:rPr>
          <w:rFonts w:asciiTheme="majorHAnsi" w:hAnsiTheme="majorHAnsi" w:cstheme="minorHAnsi"/>
          <w:b/>
          <w:bCs/>
          <w:sz w:val="24"/>
          <w:szCs w:val="24"/>
        </w:rPr>
        <w:t xml:space="preserve">TOR Question 9: </w:t>
      </w:r>
      <w:r w:rsidR="006A68A4" w:rsidRPr="006A68A4">
        <w:rPr>
          <w:rFonts w:asciiTheme="majorHAnsi" w:hAnsiTheme="majorHAnsi" w:cstheme="minorHAnsi"/>
          <w:b/>
          <w:bCs/>
          <w:sz w:val="24"/>
          <w:szCs w:val="24"/>
        </w:rPr>
        <w:t>How will these primary institutional arrangements, and various forms and levels of integration contribute to the development of city health plans? </w:t>
      </w:r>
    </w:p>
    <w:p w:rsidR="00502B27" w:rsidRPr="006A68A4" w:rsidRDefault="00502B27" w:rsidP="006A68A4">
      <w:pPr>
        <w:spacing w:line="264" w:lineRule="auto"/>
        <w:contextualSpacing/>
        <w:jc w:val="both"/>
        <w:rPr>
          <w:rFonts w:asciiTheme="majorHAnsi" w:hAnsiTheme="majorHAnsi" w:cstheme="minorHAnsi"/>
          <w:b/>
          <w:bCs/>
          <w:sz w:val="24"/>
          <w:szCs w:val="24"/>
        </w:rPr>
      </w:pPr>
    </w:p>
    <w:p w:rsidR="006A68A4" w:rsidRDefault="006A68A4" w:rsidP="006A68A4">
      <w:pPr>
        <w:tabs>
          <w:tab w:val="num" w:pos="720"/>
        </w:tabs>
        <w:spacing w:line="264" w:lineRule="auto"/>
        <w:contextualSpacing/>
        <w:jc w:val="both"/>
        <w:rPr>
          <w:rFonts w:asciiTheme="majorHAnsi" w:hAnsiTheme="majorHAnsi" w:cstheme="minorHAnsi"/>
          <w:sz w:val="24"/>
          <w:szCs w:val="24"/>
        </w:rPr>
      </w:pPr>
      <w:r w:rsidRPr="006A68A4">
        <w:rPr>
          <w:rFonts w:asciiTheme="majorHAnsi" w:hAnsiTheme="majorHAnsi" w:cstheme="minorHAnsi"/>
          <w:sz w:val="24"/>
          <w:szCs w:val="24"/>
        </w:rPr>
        <w:t xml:space="preserve">Planning process under NUHM will have to be undertaken by the ULBs themselves. Each ULB will be a unit of planning with regard to the primary healthcare institutions. These plans will be a part of the District Health Action Plan drawn for NUHM. The seven metropolitan cities viz. Delhi, Mumbai, Kolkata, Chennai, Hyderabad, Ahmedabad and Bengaluru are expected to plan for themselves. Planning in </w:t>
      </w:r>
      <w:r w:rsidR="00B60A4B" w:rsidRPr="006A68A4">
        <w:rPr>
          <w:rFonts w:asciiTheme="majorHAnsi" w:hAnsiTheme="majorHAnsi" w:cstheme="minorHAnsi"/>
          <w:sz w:val="24"/>
          <w:szCs w:val="24"/>
        </w:rPr>
        <w:t>urban areas</w:t>
      </w:r>
      <w:r w:rsidRPr="006A68A4">
        <w:rPr>
          <w:rFonts w:asciiTheme="majorHAnsi" w:hAnsiTheme="majorHAnsi" w:cstheme="minorHAnsi"/>
          <w:sz w:val="24"/>
          <w:szCs w:val="24"/>
        </w:rPr>
        <w:t xml:space="preserve"> will have to take into consideration the possibility of involving the non-governmental sector, owing to their large scale presence in urban areas. Public health planning will receive a renewed thrust under NUHM, with emphasis on urban poor. This would cover all 779 cities with population above 50,000, and all district and state headquarters (irrespective of population size). Planning would also include implementation of urban health programs. Thus NUHM would provide a system of convergence for both communicable and non-communicable disease programs. Thus all these activities would require integrated planning at city level, </w:t>
      </w:r>
      <w:r w:rsidRPr="006A68A4">
        <w:rPr>
          <w:rFonts w:asciiTheme="majorHAnsi" w:hAnsiTheme="majorHAnsi" w:cstheme="minorHAnsi"/>
          <w:sz w:val="24"/>
          <w:szCs w:val="24"/>
        </w:rPr>
        <w:lastRenderedPageBreak/>
        <w:t xml:space="preserve">resulting in development of city health plans. NUHM would provide the resources to build this capacity in ULBs. </w:t>
      </w:r>
    </w:p>
    <w:p w:rsidR="00E242EB" w:rsidRDefault="00E242EB" w:rsidP="006A68A4">
      <w:pPr>
        <w:tabs>
          <w:tab w:val="num" w:pos="720"/>
        </w:tabs>
        <w:spacing w:line="264" w:lineRule="auto"/>
        <w:contextualSpacing/>
        <w:jc w:val="both"/>
        <w:rPr>
          <w:rFonts w:asciiTheme="majorHAnsi" w:hAnsiTheme="majorHAnsi" w:cstheme="minorHAnsi"/>
          <w:sz w:val="24"/>
          <w:szCs w:val="24"/>
        </w:rPr>
      </w:pPr>
    </w:p>
    <w:p w:rsidR="00E242EB" w:rsidRDefault="00E242EB" w:rsidP="006A68A4">
      <w:pPr>
        <w:tabs>
          <w:tab w:val="num" w:pos="720"/>
        </w:tabs>
        <w:spacing w:line="264" w:lineRule="auto"/>
        <w:contextualSpacing/>
        <w:jc w:val="both"/>
        <w:rPr>
          <w:rFonts w:asciiTheme="majorHAnsi" w:hAnsiTheme="majorHAnsi" w:cstheme="minorHAnsi"/>
          <w:sz w:val="24"/>
          <w:szCs w:val="24"/>
        </w:rPr>
      </w:pPr>
    </w:p>
    <w:p w:rsidR="00664C05" w:rsidRPr="006A68A4" w:rsidRDefault="00664C05" w:rsidP="006A68A4">
      <w:pPr>
        <w:tabs>
          <w:tab w:val="num" w:pos="720"/>
        </w:tabs>
        <w:spacing w:line="264" w:lineRule="auto"/>
        <w:contextualSpacing/>
        <w:jc w:val="both"/>
        <w:rPr>
          <w:rFonts w:asciiTheme="majorHAnsi" w:hAnsiTheme="majorHAnsi" w:cstheme="minorHAnsi"/>
          <w:sz w:val="24"/>
          <w:szCs w:val="24"/>
        </w:rPr>
      </w:pPr>
    </w:p>
    <w:p w:rsidR="006A68A4" w:rsidRDefault="00664C05" w:rsidP="006A68A4">
      <w:pPr>
        <w:pStyle w:val="Bibliography"/>
        <w:spacing w:line="264" w:lineRule="auto"/>
        <w:ind w:left="720" w:hanging="720"/>
        <w:contextualSpacing/>
        <w:jc w:val="both"/>
        <w:rPr>
          <w:rFonts w:asciiTheme="majorHAnsi" w:hAnsiTheme="majorHAnsi" w:cstheme="minorHAnsi"/>
          <w:b/>
          <w:bCs/>
          <w:sz w:val="24"/>
          <w:szCs w:val="24"/>
        </w:rPr>
      </w:pPr>
      <w:r>
        <w:rPr>
          <w:rFonts w:asciiTheme="majorHAnsi" w:hAnsiTheme="majorHAnsi" w:cstheme="minorHAnsi"/>
          <w:b/>
          <w:bCs/>
          <w:sz w:val="24"/>
          <w:szCs w:val="24"/>
        </w:rPr>
        <w:t xml:space="preserve">References: </w:t>
      </w:r>
    </w:p>
    <w:p w:rsidR="00664C05" w:rsidRDefault="00664C05" w:rsidP="006A68A4">
      <w:pPr>
        <w:pStyle w:val="Bibliography"/>
        <w:spacing w:line="264" w:lineRule="auto"/>
        <w:ind w:left="720" w:hanging="720"/>
        <w:contextualSpacing/>
        <w:jc w:val="both"/>
        <w:rPr>
          <w:rFonts w:asciiTheme="majorHAnsi" w:hAnsiTheme="majorHAnsi" w:cstheme="minorHAnsi"/>
          <w:sz w:val="24"/>
          <w:szCs w:val="24"/>
        </w:rPr>
      </w:pPr>
    </w:p>
    <w:p w:rsidR="006A68A4" w:rsidRPr="001765C7" w:rsidRDefault="00D20074" w:rsidP="006A68A4">
      <w:pPr>
        <w:pStyle w:val="Bibliography"/>
        <w:spacing w:line="264" w:lineRule="auto"/>
        <w:ind w:left="720" w:hanging="720"/>
        <w:contextualSpacing/>
        <w:jc w:val="both"/>
        <w:rPr>
          <w:rFonts w:asciiTheme="majorHAnsi" w:hAnsiTheme="majorHAnsi"/>
          <w:noProof/>
          <w:szCs w:val="24"/>
          <w:lang w:val="en-US"/>
        </w:rPr>
      </w:pPr>
      <w:r w:rsidRPr="00D20074">
        <w:rPr>
          <w:rFonts w:asciiTheme="majorHAnsi" w:hAnsiTheme="majorHAnsi" w:cstheme="minorHAnsi"/>
          <w:szCs w:val="24"/>
        </w:rPr>
        <w:fldChar w:fldCharType="begin"/>
      </w:r>
      <w:r w:rsidR="006A68A4" w:rsidRPr="001765C7">
        <w:rPr>
          <w:rFonts w:asciiTheme="majorHAnsi" w:hAnsiTheme="majorHAnsi" w:cstheme="minorHAnsi"/>
          <w:szCs w:val="24"/>
          <w:lang w:val="en-US"/>
        </w:rPr>
        <w:instrText xml:space="preserve"> BIBLIOGRAPHY  \l 1033 </w:instrText>
      </w:r>
      <w:r w:rsidRPr="00D20074">
        <w:rPr>
          <w:rFonts w:asciiTheme="majorHAnsi" w:hAnsiTheme="majorHAnsi" w:cstheme="minorHAnsi"/>
          <w:szCs w:val="24"/>
        </w:rPr>
        <w:fldChar w:fldCharType="separate"/>
      </w:r>
      <w:r w:rsidR="006A68A4" w:rsidRPr="001765C7">
        <w:rPr>
          <w:rFonts w:asciiTheme="majorHAnsi" w:hAnsiTheme="majorHAnsi"/>
          <w:noProof/>
          <w:szCs w:val="24"/>
          <w:lang w:val="en-US"/>
        </w:rPr>
        <w:t xml:space="preserve">HLEG Report on UHC. (2011). </w:t>
      </w:r>
      <w:r w:rsidR="006A68A4" w:rsidRPr="001765C7">
        <w:rPr>
          <w:rFonts w:asciiTheme="majorHAnsi" w:hAnsiTheme="majorHAnsi"/>
          <w:i/>
          <w:iCs/>
          <w:noProof/>
          <w:szCs w:val="24"/>
          <w:lang w:val="en-US"/>
        </w:rPr>
        <w:t>High Level Expert Group Report on Universal Health Coverage for India.</w:t>
      </w:r>
      <w:r w:rsidR="006A68A4" w:rsidRPr="001765C7">
        <w:rPr>
          <w:rFonts w:asciiTheme="majorHAnsi" w:hAnsiTheme="majorHAnsi"/>
          <w:noProof/>
          <w:szCs w:val="24"/>
          <w:lang w:val="en-US"/>
        </w:rPr>
        <w:t xml:space="preserve"> New Delhi: Planning Commission.</w:t>
      </w:r>
    </w:p>
    <w:p w:rsidR="006A68A4" w:rsidRPr="001765C7" w:rsidRDefault="006A68A4" w:rsidP="006A68A4">
      <w:pPr>
        <w:pStyle w:val="Bibliography"/>
        <w:spacing w:line="264" w:lineRule="auto"/>
        <w:ind w:left="720" w:hanging="720"/>
        <w:contextualSpacing/>
        <w:jc w:val="both"/>
        <w:rPr>
          <w:rFonts w:asciiTheme="majorHAnsi" w:hAnsiTheme="majorHAnsi"/>
          <w:noProof/>
          <w:szCs w:val="24"/>
          <w:lang w:val="en-US"/>
        </w:rPr>
      </w:pPr>
      <w:r w:rsidRPr="001765C7">
        <w:rPr>
          <w:rFonts w:asciiTheme="majorHAnsi" w:hAnsiTheme="majorHAnsi"/>
          <w:noProof/>
          <w:szCs w:val="24"/>
          <w:lang w:val="en-US"/>
        </w:rPr>
        <w:t xml:space="preserve">NHP. (2002). </w:t>
      </w:r>
      <w:r w:rsidRPr="001765C7">
        <w:rPr>
          <w:rFonts w:asciiTheme="majorHAnsi" w:hAnsiTheme="majorHAnsi"/>
          <w:i/>
          <w:iCs/>
          <w:noProof/>
          <w:szCs w:val="24"/>
          <w:lang w:val="en-US"/>
        </w:rPr>
        <w:t>National Health Policy.</w:t>
      </w:r>
      <w:r w:rsidRPr="001765C7">
        <w:rPr>
          <w:rFonts w:asciiTheme="majorHAnsi" w:hAnsiTheme="majorHAnsi"/>
          <w:noProof/>
          <w:szCs w:val="24"/>
          <w:lang w:val="en-US"/>
        </w:rPr>
        <w:t xml:space="preserve"> New Delhi: Ministry of Health and Family Welfare.</w:t>
      </w:r>
    </w:p>
    <w:p w:rsidR="006A68A4" w:rsidRPr="001765C7" w:rsidRDefault="006A68A4" w:rsidP="006A68A4">
      <w:pPr>
        <w:pStyle w:val="Bibliography"/>
        <w:spacing w:line="264" w:lineRule="auto"/>
        <w:ind w:left="720" w:hanging="720"/>
        <w:contextualSpacing/>
        <w:jc w:val="both"/>
        <w:rPr>
          <w:rFonts w:asciiTheme="majorHAnsi" w:hAnsiTheme="majorHAnsi"/>
          <w:noProof/>
          <w:szCs w:val="24"/>
          <w:lang w:val="en-US"/>
        </w:rPr>
      </w:pPr>
      <w:r w:rsidRPr="001765C7">
        <w:rPr>
          <w:rFonts w:asciiTheme="majorHAnsi" w:hAnsiTheme="majorHAnsi"/>
          <w:noProof/>
          <w:szCs w:val="24"/>
          <w:lang w:val="en-US"/>
        </w:rPr>
        <w:t xml:space="preserve">NRHM. (2005). </w:t>
      </w:r>
      <w:r w:rsidRPr="001765C7">
        <w:rPr>
          <w:rFonts w:asciiTheme="majorHAnsi" w:hAnsiTheme="majorHAnsi"/>
          <w:i/>
          <w:iCs/>
          <w:noProof/>
          <w:szCs w:val="24"/>
          <w:lang w:val="en-US"/>
        </w:rPr>
        <w:t>Mission Document,National Rural Health Mission.</w:t>
      </w:r>
      <w:r w:rsidRPr="001765C7">
        <w:rPr>
          <w:rFonts w:asciiTheme="majorHAnsi" w:hAnsiTheme="majorHAnsi"/>
          <w:noProof/>
          <w:szCs w:val="24"/>
          <w:lang w:val="en-US"/>
        </w:rPr>
        <w:t xml:space="preserve"> New Delhi: Ministry of Health and Family Welfare, Government of India.</w:t>
      </w:r>
    </w:p>
    <w:p w:rsidR="006A68A4" w:rsidRPr="001765C7" w:rsidRDefault="006A68A4" w:rsidP="006A68A4">
      <w:pPr>
        <w:pStyle w:val="Bibliography"/>
        <w:spacing w:line="264" w:lineRule="auto"/>
        <w:ind w:left="720" w:hanging="720"/>
        <w:contextualSpacing/>
        <w:jc w:val="both"/>
        <w:rPr>
          <w:rFonts w:asciiTheme="majorHAnsi" w:hAnsiTheme="majorHAnsi"/>
          <w:noProof/>
          <w:szCs w:val="24"/>
          <w:lang w:val="en-US"/>
        </w:rPr>
      </w:pPr>
      <w:r w:rsidRPr="001765C7">
        <w:rPr>
          <w:rFonts w:asciiTheme="majorHAnsi" w:hAnsiTheme="majorHAnsi"/>
          <w:noProof/>
          <w:szCs w:val="24"/>
          <w:lang w:val="en-US"/>
        </w:rPr>
        <w:t xml:space="preserve">NUHM. (2012). </w:t>
      </w:r>
      <w:r w:rsidRPr="001765C7">
        <w:rPr>
          <w:rFonts w:asciiTheme="majorHAnsi" w:hAnsiTheme="majorHAnsi"/>
          <w:i/>
          <w:iCs/>
          <w:noProof/>
          <w:szCs w:val="24"/>
          <w:lang w:val="en-US"/>
        </w:rPr>
        <w:t>National Urban Health Mission, Framework for Implementation.</w:t>
      </w:r>
      <w:r w:rsidRPr="001765C7">
        <w:rPr>
          <w:rFonts w:asciiTheme="majorHAnsi" w:hAnsiTheme="majorHAnsi"/>
          <w:noProof/>
          <w:szCs w:val="24"/>
          <w:lang w:val="en-US"/>
        </w:rPr>
        <w:t xml:space="preserve"> New Delhi: Ministry of Health and Family Welfare, Government of India.</w:t>
      </w:r>
    </w:p>
    <w:p w:rsidR="006A68A4" w:rsidRPr="001765C7" w:rsidRDefault="006A68A4" w:rsidP="006A68A4">
      <w:pPr>
        <w:pStyle w:val="Bibliography"/>
        <w:spacing w:line="264" w:lineRule="auto"/>
        <w:ind w:left="720" w:hanging="720"/>
        <w:contextualSpacing/>
        <w:jc w:val="both"/>
        <w:rPr>
          <w:rFonts w:asciiTheme="majorHAnsi" w:hAnsiTheme="majorHAnsi"/>
          <w:noProof/>
          <w:szCs w:val="24"/>
          <w:lang w:val="en-US"/>
        </w:rPr>
      </w:pPr>
      <w:r w:rsidRPr="001765C7">
        <w:rPr>
          <w:rFonts w:asciiTheme="majorHAnsi" w:hAnsiTheme="majorHAnsi"/>
          <w:noProof/>
          <w:szCs w:val="24"/>
          <w:lang w:val="en-US"/>
        </w:rPr>
        <w:t xml:space="preserve">WG NRHM,XII FYP. (2011). </w:t>
      </w:r>
      <w:r w:rsidRPr="001765C7">
        <w:rPr>
          <w:rFonts w:asciiTheme="majorHAnsi" w:hAnsiTheme="majorHAnsi"/>
          <w:i/>
          <w:iCs/>
          <w:noProof/>
          <w:szCs w:val="24"/>
          <w:lang w:val="en-US"/>
        </w:rPr>
        <w:t>Report of the Working Group on National Rural Health Mission(NRHM) for the tweflth Five Year Plan (2012-2-17).</w:t>
      </w:r>
      <w:r w:rsidRPr="001765C7">
        <w:rPr>
          <w:rFonts w:asciiTheme="majorHAnsi" w:hAnsiTheme="majorHAnsi"/>
          <w:noProof/>
          <w:szCs w:val="24"/>
          <w:lang w:val="en-US"/>
        </w:rPr>
        <w:t xml:space="preserve"> New Delhi: Planning Commission, Government of India.</w:t>
      </w:r>
    </w:p>
    <w:p w:rsidR="006A68A4" w:rsidRPr="001765C7" w:rsidRDefault="006A68A4" w:rsidP="006A68A4">
      <w:pPr>
        <w:pStyle w:val="Bibliography"/>
        <w:spacing w:line="264" w:lineRule="auto"/>
        <w:ind w:left="720" w:hanging="720"/>
        <w:contextualSpacing/>
        <w:jc w:val="both"/>
        <w:rPr>
          <w:rFonts w:asciiTheme="majorHAnsi" w:hAnsiTheme="majorHAnsi"/>
          <w:noProof/>
          <w:szCs w:val="24"/>
          <w:lang w:val="en-US"/>
        </w:rPr>
      </w:pPr>
      <w:r w:rsidRPr="001765C7">
        <w:rPr>
          <w:rFonts w:asciiTheme="majorHAnsi" w:hAnsiTheme="majorHAnsi"/>
          <w:noProof/>
          <w:szCs w:val="24"/>
          <w:lang w:val="en-US"/>
        </w:rPr>
        <w:t xml:space="preserve">WG Tertiary care XIIth FYP. (2011). </w:t>
      </w:r>
      <w:r w:rsidRPr="001765C7">
        <w:rPr>
          <w:rFonts w:asciiTheme="majorHAnsi" w:hAnsiTheme="majorHAnsi"/>
          <w:i/>
          <w:iCs/>
          <w:noProof/>
          <w:szCs w:val="24"/>
          <w:lang w:val="en-US"/>
        </w:rPr>
        <w:t>Report of the Working Group on Tertiary Care Institutions for the 12th Five Year Plan.</w:t>
      </w:r>
      <w:r w:rsidRPr="001765C7">
        <w:rPr>
          <w:rFonts w:asciiTheme="majorHAnsi" w:hAnsiTheme="majorHAnsi"/>
          <w:noProof/>
          <w:szCs w:val="24"/>
          <w:lang w:val="en-US"/>
        </w:rPr>
        <w:t xml:space="preserve"> New Delhi: Planning Commission.</w:t>
      </w:r>
    </w:p>
    <w:p w:rsidR="006A68A4" w:rsidRPr="001765C7" w:rsidRDefault="006A68A4" w:rsidP="006A68A4">
      <w:pPr>
        <w:pStyle w:val="Bibliography"/>
        <w:spacing w:line="264" w:lineRule="auto"/>
        <w:ind w:left="720" w:hanging="720"/>
        <w:contextualSpacing/>
        <w:jc w:val="both"/>
        <w:rPr>
          <w:rFonts w:asciiTheme="majorHAnsi" w:hAnsiTheme="majorHAnsi"/>
          <w:noProof/>
          <w:szCs w:val="24"/>
          <w:lang w:val="en-US"/>
        </w:rPr>
      </w:pPr>
      <w:r w:rsidRPr="001765C7">
        <w:rPr>
          <w:rFonts w:asciiTheme="majorHAnsi" w:hAnsiTheme="majorHAnsi"/>
          <w:noProof/>
          <w:szCs w:val="24"/>
          <w:lang w:val="en-US"/>
        </w:rPr>
        <w:t xml:space="preserve">XIIth Plan. (2012). </w:t>
      </w:r>
      <w:r w:rsidRPr="001765C7">
        <w:rPr>
          <w:rFonts w:asciiTheme="majorHAnsi" w:hAnsiTheme="majorHAnsi"/>
          <w:i/>
          <w:iCs/>
          <w:noProof/>
          <w:szCs w:val="24"/>
          <w:lang w:val="en-US"/>
        </w:rPr>
        <w:t>Report of the Steering Committee on Health:XIIth Five Year Plan.</w:t>
      </w:r>
      <w:r w:rsidRPr="001765C7">
        <w:rPr>
          <w:rFonts w:asciiTheme="majorHAnsi" w:hAnsiTheme="majorHAnsi"/>
          <w:noProof/>
          <w:szCs w:val="24"/>
          <w:lang w:val="en-US"/>
        </w:rPr>
        <w:t xml:space="preserve"> New Delhi: Health Division, Planning Commission, Government of India.</w:t>
      </w:r>
    </w:p>
    <w:p w:rsidR="006A68A4" w:rsidRPr="001765C7" w:rsidRDefault="00D20074" w:rsidP="006A68A4">
      <w:pPr>
        <w:spacing w:line="264" w:lineRule="auto"/>
        <w:contextualSpacing/>
        <w:jc w:val="both"/>
        <w:rPr>
          <w:rFonts w:asciiTheme="majorHAnsi" w:hAnsiTheme="majorHAnsi" w:cstheme="minorHAnsi"/>
          <w:szCs w:val="24"/>
        </w:rPr>
      </w:pPr>
      <w:r w:rsidRPr="001765C7">
        <w:rPr>
          <w:rFonts w:asciiTheme="majorHAnsi" w:hAnsiTheme="majorHAnsi" w:cstheme="minorHAnsi"/>
          <w:szCs w:val="24"/>
        </w:rPr>
        <w:fldChar w:fldCharType="end"/>
      </w: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D024C7" w:rsidRDefault="005236AD" w:rsidP="006A68A4">
      <w:pPr>
        <w:spacing w:line="264" w:lineRule="auto"/>
        <w:contextualSpacing/>
        <w:jc w:val="center"/>
        <w:rPr>
          <w:rFonts w:asciiTheme="majorHAnsi" w:hAnsiTheme="majorHAnsi"/>
          <w:b/>
          <w:bCs/>
          <w:sz w:val="28"/>
          <w:szCs w:val="24"/>
          <w:u w:val="single"/>
        </w:rPr>
      </w:pPr>
      <w:r w:rsidRPr="00D024C7">
        <w:rPr>
          <w:rFonts w:asciiTheme="majorHAnsi" w:hAnsiTheme="majorHAnsi"/>
          <w:b/>
          <w:bCs/>
          <w:sz w:val="28"/>
          <w:szCs w:val="24"/>
          <w:u w:val="single"/>
        </w:rPr>
        <w:lastRenderedPageBreak/>
        <w:t>I</w:t>
      </w:r>
      <w:r w:rsidR="006A68A4" w:rsidRPr="00D024C7">
        <w:rPr>
          <w:rFonts w:asciiTheme="majorHAnsi" w:hAnsiTheme="majorHAnsi"/>
          <w:b/>
          <w:bCs/>
          <w:sz w:val="28"/>
          <w:szCs w:val="24"/>
          <w:u w:val="single"/>
        </w:rPr>
        <w:t>nstitutional Mechanisms: Review of Published Articles</w:t>
      </w:r>
    </w:p>
    <w:p w:rsidR="005236AD" w:rsidRPr="006A68A4" w:rsidRDefault="005236AD" w:rsidP="006A68A4">
      <w:pPr>
        <w:spacing w:line="264" w:lineRule="auto"/>
        <w:contextualSpacing/>
        <w:jc w:val="center"/>
        <w:rPr>
          <w:rFonts w:asciiTheme="majorHAnsi" w:hAnsiTheme="majorHAnsi"/>
          <w:b/>
          <w:bCs/>
          <w:sz w:val="24"/>
          <w:szCs w:val="24"/>
        </w:rPr>
      </w:pPr>
    </w:p>
    <w:p w:rsidR="006A68A4" w:rsidRDefault="005236AD" w:rsidP="006A68A4">
      <w:pPr>
        <w:spacing w:line="264" w:lineRule="auto"/>
        <w:contextualSpacing/>
        <w:jc w:val="both"/>
        <w:rPr>
          <w:rFonts w:asciiTheme="majorHAnsi" w:hAnsiTheme="majorHAnsi"/>
          <w:b/>
          <w:bCs/>
          <w:sz w:val="24"/>
          <w:szCs w:val="24"/>
        </w:rPr>
      </w:pPr>
      <w:r>
        <w:rPr>
          <w:rFonts w:asciiTheme="majorHAnsi" w:hAnsiTheme="majorHAnsi"/>
          <w:b/>
          <w:bCs/>
          <w:sz w:val="24"/>
          <w:szCs w:val="24"/>
        </w:rPr>
        <w:t xml:space="preserve">TOR Question 1: </w:t>
      </w:r>
      <w:r w:rsidR="006A68A4" w:rsidRPr="006A68A4">
        <w:rPr>
          <w:rFonts w:asciiTheme="majorHAnsi" w:hAnsiTheme="majorHAnsi"/>
          <w:b/>
          <w:bCs/>
          <w:sz w:val="24"/>
          <w:szCs w:val="24"/>
        </w:rPr>
        <w:t> What are the current institutional structures if any for delivery of primary health services to urban populations? Are these managed by state or municipal governments?</w:t>
      </w:r>
    </w:p>
    <w:p w:rsidR="005236AD" w:rsidRPr="006A68A4" w:rsidRDefault="005236AD" w:rsidP="006A68A4">
      <w:pPr>
        <w:spacing w:line="264" w:lineRule="auto"/>
        <w:contextualSpacing/>
        <w:jc w:val="both"/>
        <w:rPr>
          <w:rFonts w:asciiTheme="majorHAnsi" w:hAnsiTheme="majorHAnsi"/>
          <w:b/>
          <w:bCs/>
          <w:sz w:val="24"/>
          <w:szCs w:val="24"/>
        </w:rPr>
      </w:pPr>
    </w:p>
    <w:p w:rsid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 xml:space="preserve">Primary healthcare in urban areas has largely been neglected. Larger metropolises like Mumbai, Delhi provide primary healthcare by means of dispensaries, health posts and maternity homes. Health posts have been established under the India Population Project. In Mumbai, they are usually headed by a Public Health nurse. They provide basic antenatal care and primary health care through Community Health Volunteers. Maternity homes, headed by an MBBS Medical Officer, are meant for conducting normal deliveries and have support staff for the purpose. The Municipal Corporation in Mumbai oversees the working of all the levels of healthcare </w:t>
      </w:r>
      <w:sdt>
        <w:sdtPr>
          <w:rPr>
            <w:rFonts w:asciiTheme="majorHAnsi" w:hAnsiTheme="majorHAnsi"/>
            <w:sz w:val="24"/>
            <w:szCs w:val="24"/>
          </w:rPr>
          <w:id w:val="4302386"/>
          <w:citation/>
        </w:sdtPr>
        <w:sdtContent>
          <w:r w:rsidR="00D20074" w:rsidRPr="006A68A4">
            <w:rPr>
              <w:rFonts w:asciiTheme="majorHAnsi" w:hAnsiTheme="majorHAnsi"/>
              <w:sz w:val="24"/>
              <w:szCs w:val="24"/>
            </w:rPr>
            <w:fldChar w:fldCharType="begin"/>
          </w:r>
          <w:r w:rsidRPr="006A68A4">
            <w:rPr>
              <w:rFonts w:asciiTheme="majorHAnsi" w:hAnsiTheme="majorHAnsi"/>
              <w:sz w:val="24"/>
              <w:szCs w:val="24"/>
            </w:rPr>
            <w:instrText xml:space="preserve"> CITATION PHR10 \l 1033 </w:instrText>
          </w:r>
          <w:r w:rsidR="00D20074" w:rsidRPr="006A68A4">
            <w:rPr>
              <w:rFonts w:asciiTheme="majorHAnsi" w:hAnsiTheme="majorHAnsi"/>
              <w:sz w:val="24"/>
              <w:szCs w:val="24"/>
            </w:rPr>
            <w:fldChar w:fldCharType="separate"/>
          </w:r>
          <w:r w:rsidRPr="006A68A4">
            <w:rPr>
              <w:rFonts w:asciiTheme="majorHAnsi" w:hAnsiTheme="majorHAnsi"/>
              <w:noProof/>
              <w:sz w:val="24"/>
              <w:szCs w:val="24"/>
            </w:rPr>
            <w:t>(PHRN, 2010)</w:t>
          </w:r>
          <w:r w:rsidR="00D20074" w:rsidRPr="006A68A4">
            <w:rPr>
              <w:rFonts w:asciiTheme="majorHAnsi" w:hAnsiTheme="majorHAnsi"/>
              <w:sz w:val="24"/>
              <w:szCs w:val="24"/>
            </w:rPr>
            <w:fldChar w:fldCharType="end"/>
          </w:r>
        </w:sdtContent>
      </w:sdt>
      <w:r w:rsidRPr="006A68A4">
        <w:rPr>
          <w:rFonts w:asciiTheme="majorHAnsi" w:hAnsiTheme="majorHAnsi"/>
          <w:sz w:val="24"/>
          <w:szCs w:val="24"/>
        </w:rPr>
        <w:t xml:space="preserve">. </w:t>
      </w:r>
    </w:p>
    <w:p w:rsidR="005236AD" w:rsidRPr="006A68A4" w:rsidRDefault="005236AD" w:rsidP="006A68A4">
      <w:pPr>
        <w:spacing w:line="264" w:lineRule="auto"/>
        <w:contextualSpacing/>
        <w:jc w:val="both"/>
        <w:rPr>
          <w:rFonts w:asciiTheme="majorHAnsi" w:hAnsiTheme="majorHAnsi"/>
          <w:sz w:val="24"/>
          <w:szCs w:val="24"/>
        </w:rPr>
      </w:pPr>
    </w:p>
    <w:p w:rsid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 xml:space="preserve">At the primary healthcare level, Delhi has a network of 987 clinics and dispensaries </w:t>
      </w:r>
      <w:r w:rsidR="00B60A4B" w:rsidRPr="006A68A4">
        <w:rPr>
          <w:rFonts w:asciiTheme="majorHAnsi" w:hAnsiTheme="majorHAnsi"/>
          <w:sz w:val="24"/>
          <w:szCs w:val="24"/>
        </w:rPr>
        <w:t>through Delhi</w:t>
      </w:r>
      <w:r w:rsidRPr="006A68A4">
        <w:rPr>
          <w:rFonts w:asciiTheme="majorHAnsi" w:hAnsiTheme="majorHAnsi"/>
          <w:sz w:val="24"/>
          <w:szCs w:val="24"/>
        </w:rPr>
        <w:t xml:space="preserve"> Government, MCD, NDMC and Delhi </w:t>
      </w:r>
      <w:r w:rsidR="00B60A4B" w:rsidRPr="006A68A4">
        <w:rPr>
          <w:rFonts w:asciiTheme="majorHAnsi" w:hAnsiTheme="majorHAnsi"/>
          <w:sz w:val="24"/>
          <w:szCs w:val="24"/>
        </w:rPr>
        <w:t>Cantonment</w:t>
      </w:r>
      <w:r w:rsidRPr="006A68A4">
        <w:rPr>
          <w:rFonts w:asciiTheme="majorHAnsi" w:hAnsiTheme="majorHAnsi"/>
          <w:sz w:val="24"/>
          <w:szCs w:val="24"/>
        </w:rPr>
        <w:t xml:space="preserve"> Board, and central agencies CGHS, ESIC and Railways. Under IPP VIII, several Maternity homes, health </w:t>
      </w:r>
      <w:r w:rsidR="00B60A4B" w:rsidRPr="006A68A4">
        <w:rPr>
          <w:rFonts w:asciiTheme="majorHAnsi" w:hAnsiTheme="majorHAnsi"/>
          <w:sz w:val="24"/>
          <w:szCs w:val="24"/>
        </w:rPr>
        <w:t>centers</w:t>
      </w:r>
      <w:r w:rsidRPr="006A68A4">
        <w:rPr>
          <w:rFonts w:asciiTheme="majorHAnsi" w:hAnsiTheme="majorHAnsi"/>
          <w:sz w:val="24"/>
          <w:szCs w:val="24"/>
        </w:rPr>
        <w:t xml:space="preserve"> and health posts have been opened and are being run by the MCD </w:t>
      </w:r>
      <w:sdt>
        <w:sdtPr>
          <w:rPr>
            <w:rFonts w:asciiTheme="majorHAnsi" w:hAnsiTheme="majorHAnsi"/>
            <w:sz w:val="24"/>
            <w:szCs w:val="24"/>
          </w:rPr>
          <w:id w:val="4302385"/>
          <w:citation/>
        </w:sdtPr>
        <w:sdtContent>
          <w:r w:rsidR="00D20074" w:rsidRPr="006A68A4">
            <w:rPr>
              <w:rFonts w:asciiTheme="majorHAnsi" w:hAnsiTheme="majorHAnsi"/>
              <w:sz w:val="24"/>
              <w:szCs w:val="24"/>
            </w:rPr>
            <w:fldChar w:fldCharType="begin"/>
          </w:r>
          <w:r w:rsidRPr="006A68A4">
            <w:rPr>
              <w:rFonts w:asciiTheme="majorHAnsi" w:hAnsiTheme="majorHAnsi"/>
              <w:sz w:val="24"/>
              <w:szCs w:val="24"/>
            </w:rPr>
            <w:instrText xml:space="preserve"> CITATION PHR10 \l 1033 </w:instrText>
          </w:r>
          <w:r w:rsidR="00D20074" w:rsidRPr="006A68A4">
            <w:rPr>
              <w:rFonts w:asciiTheme="majorHAnsi" w:hAnsiTheme="majorHAnsi"/>
              <w:sz w:val="24"/>
              <w:szCs w:val="24"/>
            </w:rPr>
            <w:fldChar w:fldCharType="separate"/>
          </w:r>
          <w:r w:rsidRPr="006A68A4">
            <w:rPr>
              <w:rFonts w:asciiTheme="majorHAnsi" w:hAnsiTheme="majorHAnsi"/>
              <w:noProof/>
              <w:sz w:val="24"/>
              <w:szCs w:val="24"/>
            </w:rPr>
            <w:t>(PHRN, 2010)</w:t>
          </w:r>
          <w:r w:rsidR="00D20074" w:rsidRPr="006A68A4">
            <w:rPr>
              <w:rFonts w:asciiTheme="majorHAnsi" w:hAnsiTheme="majorHAnsi"/>
              <w:sz w:val="24"/>
              <w:szCs w:val="24"/>
            </w:rPr>
            <w:fldChar w:fldCharType="end"/>
          </w:r>
        </w:sdtContent>
      </w:sdt>
      <w:r w:rsidRPr="006A68A4">
        <w:rPr>
          <w:rFonts w:asciiTheme="majorHAnsi" w:hAnsiTheme="majorHAnsi"/>
          <w:sz w:val="24"/>
          <w:szCs w:val="24"/>
        </w:rPr>
        <w:t xml:space="preserve">. Multiple state agencies are providing services. There is overlapping of services and lack of coordination among these agencies. Private health providers are key players in overall provisioning of services. </w:t>
      </w:r>
    </w:p>
    <w:p w:rsidR="005236AD" w:rsidRPr="006A68A4" w:rsidRDefault="005236AD" w:rsidP="006A68A4">
      <w:pPr>
        <w:spacing w:line="264" w:lineRule="auto"/>
        <w:contextualSpacing/>
        <w:jc w:val="both"/>
        <w:rPr>
          <w:rFonts w:asciiTheme="majorHAnsi" w:hAnsiTheme="majorHAnsi"/>
          <w:sz w:val="24"/>
          <w:szCs w:val="24"/>
        </w:rPr>
      </w:pPr>
    </w:p>
    <w:p w:rsidR="006A68A4" w:rsidRP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Setting of standards for institutions for providing primary health care and making them accountable to the local government and in turn to the citizens are vital aspects that need attention. An enabling environment needs to be created with adequate autonomy and built-in controls to provide service delivery</w:t>
      </w:r>
      <w:sdt>
        <w:sdtPr>
          <w:rPr>
            <w:rFonts w:asciiTheme="majorHAnsi" w:hAnsiTheme="majorHAnsi"/>
            <w:sz w:val="24"/>
            <w:szCs w:val="24"/>
          </w:rPr>
          <w:id w:val="225625"/>
          <w:citation/>
        </w:sdtPr>
        <w:sdtContent>
          <w:r w:rsidR="00D20074" w:rsidRPr="006A68A4">
            <w:rPr>
              <w:rFonts w:asciiTheme="majorHAnsi" w:hAnsiTheme="majorHAnsi"/>
              <w:sz w:val="24"/>
              <w:szCs w:val="24"/>
            </w:rPr>
            <w:fldChar w:fldCharType="begin"/>
          </w:r>
          <w:r w:rsidRPr="006A68A4">
            <w:rPr>
              <w:rFonts w:asciiTheme="majorHAnsi" w:hAnsiTheme="majorHAnsi"/>
              <w:sz w:val="24"/>
              <w:szCs w:val="24"/>
            </w:rPr>
            <w:instrText xml:space="preserve"> CITATION Rah10 \l 1033 </w:instrText>
          </w:r>
          <w:r w:rsidR="00D20074" w:rsidRPr="006A68A4">
            <w:rPr>
              <w:rFonts w:asciiTheme="majorHAnsi" w:hAnsiTheme="majorHAnsi"/>
              <w:sz w:val="24"/>
              <w:szCs w:val="24"/>
            </w:rPr>
            <w:fldChar w:fldCharType="separate"/>
          </w:r>
          <w:r w:rsidRPr="006A68A4">
            <w:rPr>
              <w:rFonts w:asciiTheme="majorHAnsi" w:hAnsiTheme="majorHAnsi"/>
              <w:noProof/>
              <w:sz w:val="24"/>
              <w:szCs w:val="24"/>
            </w:rPr>
            <w:t xml:space="preserve"> (Raha, 2010)</w:t>
          </w:r>
          <w:r w:rsidR="00D20074" w:rsidRPr="006A68A4">
            <w:rPr>
              <w:rFonts w:asciiTheme="majorHAnsi" w:hAnsiTheme="majorHAnsi"/>
              <w:sz w:val="24"/>
              <w:szCs w:val="24"/>
            </w:rPr>
            <w:fldChar w:fldCharType="end"/>
          </w:r>
        </w:sdtContent>
      </w:sdt>
      <w:r w:rsidRPr="006A68A4">
        <w:rPr>
          <w:rFonts w:asciiTheme="majorHAnsi" w:hAnsiTheme="majorHAnsi"/>
          <w:sz w:val="24"/>
          <w:szCs w:val="24"/>
        </w:rPr>
        <w:t>. The process of providing managerial oversight to UHCs needs to be defined.</w:t>
      </w:r>
    </w:p>
    <w:p w:rsidR="006A68A4" w:rsidRPr="006A68A4" w:rsidRDefault="006A68A4" w:rsidP="006A68A4">
      <w:pPr>
        <w:spacing w:line="264" w:lineRule="auto"/>
        <w:contextualSpacing/>
        <w:jc w:val="both"/>
        <w:rPr>
          <w:rFonts w:asciiTheme="majorHAnsi" w:hAnsiTheme="majorHAnsi"/>
          <w:sz w:val="24"/>
          <w:szCs w:val="24"/>
        </w:rPr>
      </w:pPr>
    </w:p>
    <w:p w:rsidR="006A68A4" w:rsidRDefault="005236AD" w:rsidP="006A68A4">
      <w:pPr>
        <w:spacing w:line="264" w:lineRule="auto"/>
        <w:contextualSpacing/>
        <w:jc w:val="both"/>
        <w:rPr>
          <w:rFonts w:asciiTheme="majorHAnsi" w:hAnsiTheme="majorHAnsi"/>
          <w:b/>
          <w:bCs/>
          <w:sz w:val="24"/>
          <w:szCs w:val="24"/>
        </w:rPr>
      </w:pPr>
      <w:r>
        <w:rPr>
          <w:rFonts w:asciiTheme="majorHAnsi" w:hAnsiTheme="majorHAnsi"/>
          <w:b/>
          <w:bCs/>
          <w:sz w:val="24"/>
          <w:szCs w:val="24"/>
        </w:rPr>
        <w:t xml:space="preserve">TOR Question 2: </w:t>
      </w:r>
      <w:r w:rsidR="006A68A4" w:rsidRPr="006A68A4">
        <w:rPr>
          <w:rFonts w:asciiTheme="majorHAnsi" w:hAnsiTheme="majorHAnsi"/>
          <w:b/>
          <w:bCs/>
          <w:sz w:val="24"/>
          <w:szCs w:val="24"/>
        </w:rPr>
        <w:t>What is the diversity in these institutional arrangements nationally, and what are the strengths, weaknesses and challenges in these, including recommended good practices?</w:t>
      </w:r>
    </w:p>
    <w:p w:rsidR="005236AD" w:rsidRPr="006A68A4" w:rsidRDefault="005236AD" w:rsidP="006A68A4">
      <w:pPr>
        <w:spacing w:line="264" w:lineRule="auto"/>
        <w:contextualSpacing/>
        <w:jc w:val="both"/>
        <w:rPr>
          <w:rFonts w:asciiTheme="majorHAnsi" w:hAnsiTheme="majorHAnsi"/>
          <w:b/>
          <w:bCs/>
          <w:sz w:val="24"/>
          <w:szCs w:val="24"/>
        </w:rPr>
      </w:pPr>
    </w:p>
    <w:p w:rsid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The Urban Health System under the Kolkata Metropolitan Development Area consists of KMDA provided services, the private sector and the state health department provided services. Kolkata Urban Services for the poor (KUSP) is being implemented across 40 municipalities of the administrative unit of KMA. The Honorary Health Worker program is being implemented in urban slums of KMA municipalities. Each HHW serves approx. 1000 population, called a block. There are 5585 blocks. A cluster of 5 HHWs are linked to a Sub Centre, which caters to a pop</w:t>
      </w:r>
      <w:r w:rsidR="00B60A4B">
        <w:rPr>
          <w:rFonts w:asciiTheme="majorHAnsi" w:hAnsiTheme="majorHAnsi"/>
          <w:sz w:val="24"/>
          <w:szCs w:val="24"/>
        </w:rPr>
        <w:t xml:space="preserve">ulation </w:t>
      </w:r>
      <w:r w:rsidRPr="006A68A4">
        <w:rPr>
          <w:rFonts w:asciiTheme="majorHAnsi" w:hAnsiTheme="majorHAnsi"/>
          <w:sz w:val="24"/>
          <w:szCs w:val="24"/>
        </w:rPr>
        <w:t xml:space="preserve">of 5000; there are 1097 Sub </w:t>
      </w:r>
      <w:r w:rsidR="00B60A4B" w:rsidRPr="006A68A4">
        <w:rPr>
          <w:rFonts w:asciiTheme="majorHAnsi" w:hAnsiTheme="majorHAnsi"/>
          <w:sz w:val="24"/>
          <w:szCs w:val="24"/>
        </w:rPr>
        <w:t>Centers</w:t>
      </w:r>
      <w:r w:rsidRPr="006A68A4">
        <w:rPr>
          <w:rFonts w:asciiTheme="majorHAnsi" w:hAnsiTheme="majorHAnsi"/>
          <w:sz w:val="24"/>
          <w:szCs w:val="24"/>
        </w:rPr>
        <w:t xml:space="preserve">. One Health Administrative Unit caters to a pop of 35,000. There are currently 174 HAUs. Twenty five </w:t>
      </w:r>
      <w:r w:rsidRPr="006A68A4">
        <w:rPr>
          <w:rFonts w:asciiTheme="majorHAnsi" w:hAnsiTheme="majorHAnsi"/>
          <w:sz w:val="24"/>
          <w:szCs w:val="24"/>
        </w:rPr>
        <w:lastRenderedPageBreak/>
        <w:t>maternity hospitals created to promote institutional delivery, provide safe abortion services and emergency obstetric care</w:t>
      </w:r>
      <w:r w:rsidR="005236AD">
        <w:rPr>
          <w:rFonts w:asciiTheme="majorHAnsi" w:hAnsiTheme="majorHAnsi"/>
          <w:sz w:val="24"/>
          <w:szCs w:val="24"/>
        </w:rPr>
        <w:t>; t</w:t>
      </w:r>
      <w:r w:rsidRPr="006A68A4">
        <w:rPr>
          <w:rFonts w:asciiTheme="majorHAnsi" w:hAnsiTheme="majorHAnsi"/>
          <w:sz w:val="24"/>
          <w:szCs w:val="24"/>
        </w:rPr>
        <w:t>hirty five ESOPDs (Extended Specialized Out Patient Departments), each of which have 8 specialists, 2 part time medical officers to provide services. They refer to state health system hospitals. Regional Diagnostic Centres are operational in 8 ULBs. They offer Pathology, Radiology, Bio-chemistry and Micro-biology services.</w:t>
      </w:r>
    </w:p>
    <w:p w:rsidR="00CB1911" w:rsidRPr="006A68A4" w:rsidRDefault="00CB1911" w:rsidP="006A68A4">
      <w:pPr>
        <w:spacing w:line="264" w:lineRule="auto"/>
        <w:contextualSpacing/>
        <w:jc w:val="both"/>
        <w:rPr>
          <w:rFonts w:asciiTheme="majorHAnsi" w:hAnsiTheme="majorHAnsi"/>
          <w:sz w:val="24"/>
          <w:szCs w:val="24"/>
        </w:rPr>
      </w:pPr>
    </w:p>
    <w:p w:rsid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 xml:space="preserve">Impact: </w:t>
      </w:r>
    </w:p>
    <w:p w:rsidR="00E242EB" w:rsidRPr="006A68A4" w:rsidRDefault="00E242EB" w:rsidP="006A68A4">
      <w:pPr>
        <w:spacing w:line="264" w:lineRule="auto"/>
        <w:contextualSpacing/>
        <w:jc w:val="both"/>
        <w:rPr>
          <w:rFonts w:asciiTheme="majorHAnsi" w:hAnsiTheme="majorHAnsi"/>
          <w:sz w:val="24"/>
          <w:szCs w:val="24"/>
        </w:rPr>
      </w:pPr>
    </w:p>
    <w:p w:rsidR="006A68A4" w:rsidRPr="006A68A4" w:rsidRDefault="006A68A4" w:rsidP="006A68A4">
      <w:pPr>
        <w:numPr>
          <w:ilvl w:val="0"/>
          <w:numId w:val="6"/>
        </w:numPr>
        <w:spacing w:line="264" w:lineRule="auto"/>
        <w:contextualSpacing/>
        <w:jc w:val="both"/>
        <w:rPr>
          <w:rFonts w:asciiTheme="majorHAnsi" w:hAnsiTheme="majorHAnsi"/>
          <w:sz w:val="24"/>
          <w:szCs w:val="24"/>
        </w:rPr>
      </w:pPr>
      <w:r w:rsidRPr="006A68A4">
        <w:rPr>
          <w:rFonts w:asciiTheme="majorHAnsi" w:hAnsiTheme="majorHAnsi"/>
          <w:sz w:val="24"/>
          <w:szCs w:val="24"/>
        </w:rPr>
        <w:t>The program has catalyzed changes in health seeking behaviour among the urban poor</w:t>
      </w:r>
    </w:p>
    <w:p w:rsidR="006A68A4" w:rsidRPr="006A68A4" w:rsidRDefault="006A68A4" w:rsidP="006A68A4">
      <w:pPr>
        <w:numPr>
          <w:ilvl w:val="0"/>
          <w:numId w:val="6"/>
        </w:numPr>
        <w:spacing w:line="264" w:lineRule="auto"/>
        <w:contextualSpacing/>
        <w:jc w:val="both"/>
        <w:rPr>
          <w:rFonts w:asciiTheme="majorHAnsi" w:hAnsiTheme="majorHAnsi"/>
          <w:sz w:val="24"/>
          <w:szCs w:val="24"/>
        </w:rPr>
      </w:pPr>
      <w:r w:rsidRPr="006A68A4">
        <w:rPr>
          <w:rFonts w:asciiTheme="majorHAnsi" w:hAnsiTheme="majorHAnsi"/>
          <w:sz w:val="24"/>
          <w:szCs w:val="24"/>
        </w:rPr>
        <w:t>It has improved acceptance and created a demand for these services</w:t>
      </w:r>
    </w:p>
    <w:p w:rsidR="006A68A4" w:rsidRPr="006A68A4" w:rsidRDefault="006A68A4" w:rsidP="006A68A4">
      <w:pPr>
        <w:numPr>
          <w:ilvl w:val="0"/>
          <w:numId w:val="6"/>
        </w:numPr>
        <w:spacing w:line="264" w:lineRule="auto"/>
        <w:contextualSpacing/>
        <w:jc w:val="both"/>
        <w:rPr>
          <w:rFonts w:asciiTheme="majorHAnsi" w:hAnsiTheme="majorHAnsi"/>
          <w:sz w:val="24"/>
          <w:szCs w:val="24"/>
        </w:rPr>
      </w:pPr>
      <w:r w:rsidRPr="006A68A4">
        <w:rPr>
          <w:rFonts w:asciiTheme="majorHAnsi" w:hAnsiTheme="majorHAnsi"/>
          <w:sz w:val="24"/>
          <w:szCs w:val="24"/>
        </w:rPr>
        <w:t>It has led to considerable decentralization</w:t>
      </w:r>
    </w:p>
    <w:p w:rsidR="006A68A4" w:rsidRPr="006A68A4" w:rsidRDefault="006A68A4" w:rsidP="006A68A4">
      <w:pPr>
        <w:numPr>
          <w:ilvl w:val="0"/>
          <w:numId w:val="6"/>
        </w:numPr>
        <w:spacing w:line="264" w:lineRule="auto"/>
        <w:contextualSpacing/>
        <w:jc w:val="both"/>
        <w:rPr>
          <w:rFonts w:asciiTheme="majorHAnsi" w:hAnsiTheme="majorHAnsi"/>
          <w:sz w:val="24"/>
          <w:szCs w:val="24"/>
        </w:rPr>
      </w:pPr>
      <w:r w:rsidRPr="006A68A4">
        <w:rPr>
          <w:rFonts w:asciiTheme="majorHAnsi" w:hAnsiTheme="majorHAnsi"/>
          <w:sz w:val="24"/>
          <w:szCs w:val="24"/>
        </w:rPr>
        <w:t xml:space="preserve">They have played a key role in polio eradication campaigns in wards with critical </w:t>
      </w:r>
      <w:r w:rsidR="00B60A4B" w:rsidRPr="006A68A4">
        <w:rPr>
          <w:rFonts w:asciiTheme="majorHAnsi" w:hAnsiTheme="majorHAnsi"/>
          <w:sz w:val="24"/>
          <w:szCs w:val="24"/>
        </w:rPr>
        <w:t>challenges</w:t>
      </w:r>
    </w:p>
    <w:p w:rsidR="006A68A4" w:rsidRPr="006A68A4" w:rsidRDefault="006A68A4" w:rsidP="006A68A4">
      <w:pPr>
        <w:numPr>
          <w:ilvl w:val="0"/>
          <w:numId w:val="6"/>
        </w:numPr>
        <w:spacing w:line="264" w:lineRule="auto"/>
        <w:contextualSpacing/>
        <w:jc w:val="both"/>
        <w:rPr>
          <w:rFonts w:asciiTheme="majorHAnsi" w:hAnsiTheme="majorHAnsi"/>
          <w:sz w:val="24"/>
          <w:szCs w:val="24"/>
        </w:rPr>
      </w:pPr>
      <w:r w:rsidRPr="006A68A4">
        <w:rPr>
          <w:rFonts w:asciiTheme="majorHAnsi" w:hAnsiTheme="majorHAnsi"/>
          <w:sz w:val="24"/>
          <w:szCs w:val="24"/>
        </w:rPr>
        <w:t>However, the poorest are still falling through the gaps</w:t>
      </w:r>
    </w:p>
    <w:p w:rsidR="006A68A4" w:rsidRPr="006A68A4" w:rsidRDefault="006A68A4" w:rsidP="006A68A4">
      <w:pPr>
        <w:numPr>
          <w:ilvl w:val="0"/>
          <w:numId w:val="6"/>
        </w:numPr>
        <w:spacing w:line="264" w:lineRule="auto"/>
        <w:contextualSpacing/>
        <w:jc w:val="both"/>
        <w:rPr>
          <w:rFonts w:asciiTheme="majorHAnsi" w:hAnsiTheme="majorHAnsi"/>
          <w:sz w:val="24"/>
          <w:szCs w:val="24"/>
        </w:rPr>
      </w:pPr>
      <w:r w:rsidRPr="006A68A4">
        <w:rPr>
          <w:rFonts w:asciiTheme="majorHAnsi" w:hAnsiTheme="majorHAnsi"/>
          <w:sz w:val="24"/>
          <w:szCs w:val="24"/>
        </w:rPr>
        <w:t>Comprehensive primary health care is getting substituted with only RCH services</w:t>
      </w:r>
    </w:p>
    <w:p w:rsidR="006A68A4" w:rsidRDefault="006A68A4" w:rsidP="006A68A4">
      <w:pPr>
        <w:numPr>
          <w:ilvl w:val="0"/>
          <w:numId w:val="6"/>
        </w:numPr>
        <w:spacing w:line="264" w:lineRule="auto"/>
        <w:contextualSpacing/>
        <w:jc w:val="both"/>
        <w:rPr>
          <w:rFonts w:asciiTheme="majorHAnsi" w:hAnsiTheme="majorHAnsi"/>
          <w:sz w:val="24"/>
          <w:szCs w:val="24"/>
        </w:rPr>
      </w:pPr>
      <w:r w:rsidRPr="006A68A4">
        <w:rPr>
          <w:rFonts w:asciiTheme="majorHAnsi" w:hAnsiTheme="majorHAnsi"/>
          <w:sz w:val="24"/>
          <w:szCs w:val="24"/>
        </w:rPr>
        <w:t>Quality of care needs to be improved</w:t>
      </w:r>
    </w:p>
    <w:p w:rsidR="00E242EB" w:rsidRPr="006A68A4" w:rsidRDefault="00E242EB" w:rsidP="00E242EB">
      <w:pPr>
        <w:spacing w:line="264" w:lineRule="auto"/>
        <w:ind w:left="720"/>
        <w:contextualSpacing/>
        <w:jc w:val="both"/>
        <w:rPr>
          <w:rFonts w:asciiTheme="majorHAnsi" w:hAnsiTheme="majorHAnsi"/>
          <w:sz w:val="24"/>
          <w:szCs w:val="24"/>
        </w:rPr>
      </w:pPr>
    </w:p>
    <w:p w:rsid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 xml:space="preserve">The urban health services should be modeled in such a way so as to reach out to the poor. KMDA provides a model of hiring regular staff to provide these services, while Andhra Pradesh provides an example of partnership with NGOs in running primary healthcare services </w:t>
      </w:r>
      <w:sdt>
        <w:sdtPr>
          <w:rPr>
            <w:rFonts w:asciiTheme="majorHAnsi" w:hAnsiTheme="majorHAnsi"/>
            <w:sz w:val="24"/>
            <w:szCs w:val="24"/>
          </w:rPr>
          <w:id w:val="12327870"/>
          <w:citation/>
        </w:sdtPr>
        <w:sdtContent>
          <w:r w:rsidR="00D20074" w:rsidRPr="006A68A4">
            <w:rPr>
              <w:rFonts w:asciiTheme="majorHAnsi" w:hAnsiTheme="majorHAnsi"/>
              <w:sz w:val="24"/>
              <w:szCs w:val="24"/>
            </w:rPr>
            <w:fldChar w:fldCharType="begin"/>
          </w:r>
          <w:r w:rsidRPr="006A68A4">
            <w:rPr>
              <w:rFonts w:asciiTheme="majorHAnsi" w:hAnsiTheme="majorHAnsi"/>
              <w:sz w:val="24"/>
              <w:szCs w:val="24"/>
            </w:rPr>
            <w:instrText xml:space="preserve"> CITATION PHR10 \l 1033 </w:instrText>
          </w:r>
          <w:r w:rsidR="00D20074" w:rsidRPr="006A68A4">
            <w:rPr>
              <w:rFonts w:asciiTheme="majorHAnsi" w:hAnsiTheme="majorHAnsi"/>
              <w:sz w:val="24"/>
              <w:szCs w:val="24"/>
            </w:rPr>
            <w:fldChar w:fldCharType="separate"/>
          </w:r>
          <w:r w:rsidRPr="006A68A4">
            <w:rPr>
              <w:rFonts w:asciiTheme="majorHAnsi" w:hAnsiTheme="majorHAnsi"/>
              <w:noProof/>
              <w:sz w:val="24"/>
              <w:szCs w:val="24"/>
            </w:rPr>
            <w:t>(PHRN, 2010)</w:t>
          </w:r>
          <w:r w:rsidR="00D20074" w:rsidRPr="006A68A4">
            <w:rPr>
              <w:rFonts w:asciiTheme="majorHAnsi" w:hAnsiTheme="majorHAnsi"/>
              <w:sz w:val="24"/>
              <w:szCs w:val="24"/>
            </w:rPr>
            <w:fldChar w:fldCharType="end"/>
          </w:r>
        </w:sdtContent>
      </w:sdt>
      <w:r w:rsidRPr="006A68A4">
        <w:rPr>
          <w:rFonts w:asciiTheme="majorHAnsi" w:hAnsiTheme="majorHAnsi"/>
          <w:sz w:val="24"/>
          <w:szCs w:val="24"/>
        </w:rPr>
        <w:t xml:space="preserve"> . </w:t>
      </w:r>
    </w:p>
    <w:p w:rsidR="00CB1911" w:rsidRPr="006A68A4" w:rsidRDefault="00CB1911" w:rsidP="006A68A4">
      <w:pPr>
        <w:spacing w:line="264" w:lineRule="auto"/>
        <w:contextualSpacing/>
        <w:jc w:val="both"/>
        <w:rPr>
          <w:rFonts w:asciiTheme="majorHAnsi" w:hAnsiTheme="majorHAnsi"/>
          <w:sz w:val="24"/>
          <w:szCs w:val="24"/>
        </w:rPr>
      </w:pPr>
    </w:p>
    <w:p w:rsidR="006A68A4" w:rsidRDefault="00CB1911" w:rsidP="006A68A4">
      <w:pPr>
        <w:spacing w:line="264" w:lineRule="auto"/>
        <w:contextualSpacing/>
        <w:jc w:val="both"/>
        <w:rPr>
          <w:rFonts w:asciiTheme="majorHAnsi" w:hAnsiTheme="majorHAnsi"/>
          <w:b/>
          <w:bCs/>
          <w:sz w:val="24"/>
          <w:szCs w:val="24"/>
        </w:rPr>
      </w:pPr>
      <w:r>
        <w:rPr>
          <w:rFonts w:asciiTheme="majorHAnsi" w:hAnsiTheme="majorHAnsi"/>
          <w:b/>
          <w:bCs/>
          <w:sz w:val="24"/>
          <w:szCs w:val="24"/>
        </w:rPr>
        <w:t xml:space="preserve">TOR Question 3: </w:t>
      </w:r>
      <w:r w:rsidR="006A68A4" w:rsidRPr="006A68A4">
        <w:rPr>
          <w:rFonts w:asciiTheme="majorHAnsi" w:hAnsiTheme="majorHAnsi"/>
          <w:b/>
          <w:bCs/>
          <w:sz w:val="24"/>
          <w:szCs w:val="24"/>
        </w:rPr>
        <w:t>What are the current health-seeking behaviours of urban poor and vulnerable populations?</w:t>
      </w:r>
    </w:p>
    <w:p w:rsidR="00CB1911" w:rsidRPr="006A68A4" w:rsidRDefault="00CB1911" w:rsidP="006A68A4">
      <w:pPr>
        <w:spacing w:line="264" w:lineRule="auto"/>
        <w:contextualSpacing/>
        <w:jc w:val="both"/>
        <w:rPr>
          <w:rFonts w:asciiTheme="majorHAnsi" w:hAnsiTheme="majorHAnsi"/>
          <w:b/>
          <w:bCs/>
          <w:sz w:val="24"/>
          <w:szCs w:val="24"/>
        </w:rPr>
      </w:pPr>
    </w:p>
    <w:p w:rsid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 xml:space="preserve">The private sector is the main provider of healthcare for a majority of people living in urban areas </w:t>
      </w:r>
      <w:sdt>
        <w:sdtPr>
          <w:rPr>
            <w:rFonts w:asciiTheme="majorHAnsi" w:hAnsiTheme="majorHAnsi"/>
            <w:sz w:val="24"/>
            <w:szCs w:val="24"/>
          </w:rPr>
          <w:id w:val="11901239"/>
          <w:citation/>
        </w:sdtPr>
        <w:sdtContent>
          <w:r w:rsidR="00D20074" w:rsidRPr="006A68A4">
            <w:rPr>
              <w:rFonts w:asciiTheme="majorHAnsi" w:hAnsiTheme="majorHAnsi"/>
              <w:sz w:val="24"/>
              <w:szCs w:val="24"/>
            </w:rPr>
            <w:fldChar w:fldCharType="begin"/>
          </w:r>
          <w:r w:rsidRPr="006A68A4">
            <w:rPr>
              <w:rFonts w:asciiTheme="majorHAnsi" w:hAnsiTheme="majorHAnsi"/>
              <w:sz w:val="24"/>
              <w:szCs w:val="24"/>
            </w:rPr>
            <w:instrText xml:space="preserve"> CITATION NFH072 \l 1033  </w:instrText>
          </w:r>
          <w:r w:rsidR="00D20074" w:rsidRPr="006A68A4">
            <w:rPr>
              <w:rFonts w:asciiTheme="majorHAnsi" w:hAnsiTheme="majorHAnsi"/>
              <w:sz w:val="24"/>
              <w:szCs w:val="24"/>
            </w:rPr>
            <w:fldChar w:fldCharType="separate"/>
          </w:r>
          <w:r w:rsidRPr="006A68A4">
            <w:rPr>
              <w:rFonts w:asciiTheme="majorHAnsi" w:hAnsiTheme="majorHAnsi"/>
              <w:noProof/>
              <w:sz w:val="24"/>
              <w:szCs w:val="24"/>
            </w:rPr>
            <w:t>(NFHS-3, 2007)</w:t>
          </w:r>
          <w:r w:rsidR="00D20074" w:rsidRPr="006A68A4">
            <w:rPr>
              <w:rFonts w:asciiTheme="majorHAnsi" w:hAnsiTheme="majorHAnsi"/>
              <w:sz w:val="24"/>
              <w:szCs w:val="24"/>
            </w:rPr>
            <w:fldChar w:fldCharType="end"/>
          </w:r>
        </w:sdtContent>
      </w:sdt>
      <w:r w:rsidRPr="006A68A4">
        <w:rPr>
          <w:rFonts w:asciiTheme="majorHAnsi" w:hAnsiTheme="majorHAnsi"/>
          <w:sz w:val="24"/>
          <w:szCs w:val="24"/>
        </w:rPr>
        <w:t xml:space="preserve">. Private doctors and private clinics are the most commonly accessed source of healthcare. Use of private hospitals increases with increasing wealth quintiles. However, the poor also utilise the private sector more than the public sector </w:t>
      </w:r>
      <w:sdt>
        <w:sdtPr>
          <w:rPr>
            <w:rFonts w:asciiTheme="majorHAnsi" w:hAnsiTheme="majorHAnsi"/>
            <w:sz w:val="24"/>
            <w:szCs w:val="24"/>
          </w:rPr>
          <w:id w:val="11901551"/>
          <w:citation/>
        </w:sdtPr>
        <w:sdtContent>
          <w:r w:rsidR="00D20074" w:rsidRPr="006A68A4">
            <w:rPr>
              <w:rFonts w:asciiTheme="majorHAnsi" w:hAnsiTheme="majorHAnsi"/>
              <w:sz w:val="24"/>
              <w:szCs w:val="24"/>
            </w:rPr>
            <w:fldChar w:fldCharType="begin"/>
          </w:r>
          <w:r w:rsidRPr="006A68A4">
            <w:rPr>
              <w:rFonts w:asciiTheme="majorHAnsi" w:hAnsiTheme="majorHAnsi"/>
              <w:sz w:val="24"/>
              <w:szCs w:val="24"/>
            </w:rPr>
            <w:instrText xml:space="preserve"> CITATION NFH072 \l 1033  </w:instrText>
          </w:r>
          <w:r w:rsidR="00D20074" w:rsidRPr="006A68A4">
            <w:rPr>
              <w:rFonts w:asciiTheme="majorHAnsi" w:hAnsiTheme="majorHAnsi"/>
              <w:sz w:val="24"/>
              <w:szCs w:val="24"/>
            </w:rPr>
            <w:fldChar w:fldCharType="separate"/>
          </w:r>
          <w:r w:rsidRPr="006A68A4">
            <w:rPr>
              <w:rFonts w:asciiTheme="majorHAnsi" w:hAnsiTheme="majorHAnsi"/>
              <w:noProof/>
              <w:sz w:val="24"/>
              <w:szCs w:val="24"/>
            </w:rPr>
            <w:t>(NFHS-3, 2007)</w:t>
          </w:r>
          <w:r w:rsidR="00D20074" w:rsidRPr="006A68A4">
            <w:rPr>
              <w:rFonts w:asciiTheme="majorHAnsi" w:hAnsiTheme="majorHAnsi"/>
              <w:sz w:val="24"/>
              <w:szCs w:val="24"/>
            </w:rPr>
            <w:fldChar w:fldCharType="end"/>
          </w:r>
        </w:sdtContent>
      </w:sdt>
      <w:r w:rsidRPr="006A68A4">
        <w:rPr>
          <w:rFonts w:asciiTheme="majorHAnsi" w:hAnsiTheme="majorHAnsi"/>
          <w:sz w:val="24"/>
          <w:szCs w:val="24"/>
        </w:rPr>
        <w:t xml:space="preserve">, although the proportion varies from state to state. The main reason given for non-utilization of public facilities is poor quality of care.  The urban poor incur high out of pocket expenditure in accessing healthcare. A study done in Mumbai from 2005-2007 showed that 16 percent of the women still preferred home delivery, citing reasons such as custom and tradition, rapid progress of labor and fear of hospital staff </w:t>
      </w:r>
      <w:sdt>
        <w:sdtPr>
          <w:rPr>
            <w:rFonts w:asciiTheme="majorHAnsi" w:hAnsiTheme="majorHAnsi"/>
            <w:sz w:val="24"/>
            <w:szCs w:val="24"/>
          </w:rPr>
          <w:id w:val="11901928"/>
          <w:citation/>
        </w:sdtPr>
        <w:sdtContent>
          <w:r w:rsidR="00D20074" w:rsidRPr="006A68A4">
            <w:rPr>
              <w:rFonts w:asciiTheme="majorHAnsi" w:hAnsiTheme="majorHAnsi"/>
              <w:sz w:val="24"/>
              <w:szCs w:val="24"/>
            </w:rPr>
            <w:fldChar w:fldCharType="begin"/>
          </w:r>
          <w:r w:rsidRPr="006A68A4">
            <w:rPr>
              <w:rFonts w:asciiTheme="majorHAnsi" w:hAnsiTheme="majorHAnsi"/>
              <w:sz w:val="24"/>
              <w:szCs w:val="24"/>
            </w:rPr>
            <w:instrText xml:space="preserve"> CITATION Mor10 \l 1033 </w:instrText>
          </w:r>
          <w:r w:rsidR="00D20074" w:rsidRPr="006A68A4">
            <w:rPr>
              <w:rFonts w:asciiTheme="majorHAnsi" w:hAnsiTheme="majorHAnsi"/>
              <w:sz w:val="24"/>
              <w:szCs w:val="24"/>
            </w:rPr>
            <w:fldChar w:fldCharType="separate"/>
          </w:r>
          <w:r w:rsidRPr="006A68A4">
            <w:rPr>
              <w:rFonts w:asciiTheme="majorHAnsi" w:hAnsiTheme="majorHAnsi"/>
              <w:noProof/>
              <w:sz w:val="24"/>
              <w:szCs w:val="24"/>
            </w:rPr>
            <w:t>(More, et al., 2010)</w:t>
          </w:r>
          <w:r w:rsidR="00D20074" w:rsidRPr="006A68A4">
            <w:rPr>
              <w:rFonts w:asciiTheme="majorHAnsi" w:hAnsiTheme="majorHAnsi"/>
              <w:sz w:val="24"/>
              <w:szCs w:val="24"/>
            </w:rPr>
            <w:fldChar w:fldCharType="end"/>
          </w:r>
        </w:sdtContent>
      </w:sdt>
      <w:r w:rsidRPr="006A68A4">
        <w:rPr>
          <w:rFonts w:asciiTheme="majorHAnsi" w:hAnsiTheme="majorHAnsi"/>
          <w:sz w:val="24"/>
          <w:szCs w:val="24"/>
        </w:rPr>
        <w:t>. The median cost of delivery was Rs. 1000, 1500 and 5500, depending on whether it was conducted at home, in a public hospital or in a private hospital respectively. The poorest were more likely to spend from their wages, while others spent from their savings.</w:t>
      </w:r>
    </w:p>
    <w:p w:rsidR="005A2B55" w:rsidRPr="006A68A4" w:rsidRDefault="005A2B55" w:rsidP="006A68A4">
      <w:pPr>
        <w:spacing w:line="264" w:lineRule="auto"/>
        <w:contextualSpacing/>
        <w:jc w:val="both"/>
        <w:rPr>
          <w:rFonts w:asciiTheme="majorHAnsi" w:hAnsiTheme="majorHAnsi"/>
          <w:sz w:val="24"/>
          <w:szCs w:val="24"/>
        </w:rPr>
      </w:pPr>
    </w:p>
    <w:p w:rsid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lastRenderedPageBreak/>
        <w:t xml:space="preserve">The urban poor are a diverse group of migrants and ‘outsiders’, mainly from rural areas. They endure tough working conditions, and have a poor health status </w:t>
      </w:r>
      <w:sdt>
        <w:sdtPr>
          <w:rPr>
            <w:rFonts w:asciiTheme="majorHAnsi" w:hAnsiTheme="majorHAnsi"/>
            <w:sz w:val="24"/>
            <w:szCs w:val="24"/>
          </w:rPr>
          <w:id w:val="11901728"/>
          <w:citation/>
        </w:sdtPr>
        <w:sdtContent>
          <w:r w:rsidR="00D20074" w:rsidRPr="006A68A4">
            <w:rPr>
              <w:rFonts w:asciiTheme="majorHAnsi" w:hAnsiTheme="majorHAnsi"/>
              <w:sz w:val="24"/>
              <w:szCs w:val="24"/>
            </w:rPr>
            <w:fldChar w:fldCharType="begin"/>
          </w:r>
          <w:r w:rsidRPr="006A68A4">
            <w:rPr>
              <w:rFonts w:asciiTheme="majorHAnsi" w:hAnsiTheme="majorHAnsi"/>
              <w:sz w:val="24"/>
              <w:szCs w:val="24"/>
            </w:rPr>
            <w:instrText xml:space="preserve"> CITATION Gup101 \l 1033 </w:instrText>
          </w:r>
          <w:r w:rsidR="00D20074" w:rsidRPr="006A68A4">
            <w:rPr>
              <w:rFonts w:asciiTheme="majorHAnsi" w:hAnsiTheme="majorHAnsi"/>
              <w:sz w:val="24"/>
              <w:szCs w:val="24"/>
            </w:rPr>
            <w:fldChar w:fldCharType="separate"/>
          </w:r>
          <w:r w:rsidRPr="006A68A4">
            <w:rPr>
              <w:rFonts w:asciiTheme="majorHAnsi" w:hAnsiTheme="majorHAnsi"/>
              <w:noProof/>
              <w:sz w:val="24"/>
              <w:szCs w:val="24"/>
            </w:rPr>
            <w:t>(Gupta, 2010)</w:t>
          </w:r>
          <w:r w:rsidR="00D20074" w:rsidRPr="006A68A4">
            <w:rPr>
              <w:rFonts w:asciiTheme="majorHAnsi" w:hAnsiTheme="majorHAnsi"/>
              <w:sz w:val="24"/>
              <w:szCs w:val="24"/>
            </w:rPr>
            <w:fldChar w:fldCharType="end"/>
          </w:r>
        </w:sdtContent>
      </w:sdt>
      <w:r w:rsidRPr="006A68A4">
        <w:rPr>
          <w:rFonts w:asciiTheme="majorHAnsi" w:hAnsiTheme="majorHAnsi"/>
          <w:sz w:val="24"/>
          <w:szCs w:val="24"/>
        </w:rPr>
        <w:t xml:space="preserve">. They have an unsteady relationship with service providers, unlike other city dwellers. Consequently, any planning for them needs to take this diversity into account </w:t>
      </w:r>
      <w:sdt>
        <w:sdtPr>
          <w:rPr>
            <w:rFonts w:asciiTheme="majorHAnsi" w:hAnsiTheme="majorHAnsi"/>
            <w:sz w:val="24"/>
            <w:szCs w:val="24"/>
          </w:rPr>
          <w:id w:val="11901726"/>
          <w:citation/>
        </w:sdtPr>
        <w:sdtContent>
          <w:r w:rsidR="00D20074" w:rsidRPr="006A68A4">
            <w:rPr>
              <w:rFonts w:asciiTheme="majorHAnsi" w:hAnsiTheme="majorHAnsi"/>
              <w:sz w:val="24"/>
              <w:szCs w:val="24"/>
            </w:rPr>
            <w:fldChar w:fldCharType="begin"/>
          </w:r>
          <w:r w:rsidRPr="006A68A4">
            <w:rPr>
              <w:rFonts w:asciiTheme="majorHAnsi" w:hAnsiTheme="majorHAnsi"/>
              <w:sz w:val="24"/>
              <w:szCs w:val="24"/>
            </w:rPr>
            <w:instrText xml:space="preserve"> CITATION Cha101 \l 1033 </w:instrText>
          </w:r>
          <w:r w:rsidR="00D20074" w:rsidRPr="006A68A4">
            <w:rPr>
              <w:rFonts w:asciiTheme="majorHAnsi" w:hAnsiTheme="majorHAnsi"/>
              <w:sz w:val="24"/>
              <w:szCs w:val="24"/>
            </w:rPr>
            <w:fldChar w:fldCharType="separate"/>
          </w:r>
          <w:r w:rsidRPr="006A68A4">
            <w:rPr>
              <w:rFonts w:asciiTheme="majorHAnsi" w:hAnsiTheme="majorHAnsi"/>
              <w:noProof/>
              <w:sz w:val="24"/>
              <w:szCs w:val="24"/>
            </w:rPr>
            <w:t>(Chatterjee, Urban Health:Policy and Polity, 2010)</w:t>
          </w:r>
          <w:r w:rsidR="00D20074" w:rsidRPr="006A68A4">
            <w:rPr>
              <w:rFonts w:asciiTheme="majorHAnsi" w:hAnsiTheme="majorHAnsi"/>
              <w:sz w:val="24"/>
              <w:szCs w:val="24"/>
            </w:rPr>
            <w:fldChar w:fldCharType="end"/>
          </w:r>
        </w:sdtContent>
      </w:sdt>
      <w:r w:rsidRPr="006A68A4">
        <w:rPr>
          <w:rFonts w:asciiTheme="majorHAnsi" w:hAnsiTheme="majorHAnsi"/>
          <w:sz w:val="24"/>
          <w:szCs w:val="24"/>
        </w:rPr>
        <w:t xml:space="preserve">. This city specific planning would require micro-planning by ULBs.  </w:t>
      </w:r>
    </w:p>
    <w:p w:rsidR="005A2B55" w:rsidRPr="006A68A4" w:rsidRDefault="005A2B55" w:rsidP="006A68A4">
      <w:pPr>
        <w:spacing w:line="264" w:lineRule="auto"/>
        <w:contextualSpacing/>
        <w:jc w:val="both"/>
        <w:rPr>
          <w:rFonts w:asciiTheme="majorHAnsi" w:hAnsiTheme="majorHAnsi"/>
          <w:sz w:val="24"/>
          <w:szCs w:val="24"/>
        </w:rPr>
      </w:pPr>
    </w:p>
    <w:p w:rsidR="006A68A4" w:rsidRDefault="005A2B55" w:rsidP="006A68A4">
      <w:pPr>
        <w:spacing w:line="264" w:lineRule="auto"/>
        <w:contextualSpacing/>
        <w:jc w:val="both"/>
        <w:rPr>
          <w:rFonts w:asciiTheme="majorHAnsi" w:hAnsiTheme="majorHAnsi"/>
          <w:b/>
          <w:bCs/>
          <w:sz w:val="24"/>
          <w:szCs w:val="24"/>
        </w:rPr>
      </w:pPr>
      <w:r>
        <w:rPr>
          <w:rFonts w:asciiTheme="majorHAnsi" w:hAnsiTheme="majorHAnsi"/>
          <w:b/>
          <w:bCs/>
          <w:sz w:val="24"/>
          <w:szCs w:val="24"/>
        </w:rPr>
        <w:t xml:space="preserve">TOR Question 4: </w:t>
      </w:r>
      <w:r w:rsidR="006A68A4" w:rsidRPr="006A68A4">
        <w:rPr>
          <w:rFonts w:asciiTheme="majorHAnsi" w:hAnsiTheme="majorHAnsi"/>
          <w:b/>
          <w:bCs/>
          <w:sz w:val="24"/>
          <w:szCs w:val="24"/>
        </w:rPr>
        <w:t>What should be the minimal recommended institutional structures for the UHM for best delivery of primary health services to the targeted urban populations? Should these be managed by the state or local governments?</w:t>
      </w:r>
    </w:p>
    <w:p w:rsidR="00B866A8" w:rsidRPr="006A68A4" w:rsidRDefault="00B866A8" w:rsidP="006A68A4">
      <w:pPr>
        <w:spacing w:line="264" w:lineRule="auto"/>
        <w:contextualSpacing/>
        <w:jc w:val="both"/>
        <w:rPr>
          <w:rFonts w:asciiTheme="majorHAnsi" w:hAnsiTheme="majorHAnsi"/>
          <w:b/>
          <w:bCs/>
          <w:sz w:val="24"/>
          <w:szCs w:val="24"/>
        </w:rPr>
      </w:pPr>
    </w:p>
    <w:p w:rsidR="006A68A4" w:rsidRDefault="006A68A4" w:rsidP="006A68A4">
      <w:pPr>
        <w:spacing w:after="100" w:afterAutospacing="1" w:line="264" w:lineRule="auto"/>
        <w:ind w:right="-45"/>
        <w:contextualSpacing/>
        <w:jc w:val="both"/>
        <w:rPr>
          <w:rFonts w:asciiTheme="majorHAnsi" w:hAnsiTheme="majorHAnsi"/>
          <w:sz w:val="24"/>
          <w:szCs w:val="24"/>
        </w:rPr>
      </w:pPr>
      <w:r w:rsidRPr="006A68A4">
        <w:rPr>
          <w:rFonts w:asciiTheme="majorHAnsi" w:hAnsiTheme="majorHAnsi"/>
          <w:sz w:val="24"/>
          <w:szCs w:val="24"/>
        </w:rPr>
        <w:t xml:space="preserve">The role of State Governments and Municipal bodies as health service providers in urban areas is not clearly defined and there are no population based norms. There are multiple agencies providing services, with minimal coordination </w:t>
      </w:r>
      <w:sdt>
        <w:sdtPr>
          <w:rPr>
            <w:rFonts w:asciiTheme="majorHAnsi" w:hAnsiTheme="majorHAnsi"/>
            <w:sz w:val="24"/>
            <w:szCs w:val="24"/>
          </w:rPr>
          <w:id w:val="6518704"/>
          <w:citation/>
        </w:sdtPr>
        <w:sdtContent>
          <w:r w:rsidR="00D20074" w:rsidRPr="006A68A4">
            <w:rPr>
              <w:rFonts w:asciiTheme="majorHAnsi" w:hAnsiTheme="majorHAnsi"/>
              <w:sz w:val="24"/>
              <w:szCs w:val="24"/>
            </w:rPr>
            <w:fldChar w:fldCharType="begin"/>
          </w:r>
          <w:r w:rsidRPr="006A68A4">
            <w:rPr>
              <w:rFonts w:asciiTheme="majorHAnsi" w:hAnsiTheme="majorHAnsi"/>
              <w:sz w:val="24"/>
              <w:szCs w:val="24"/>
            </w:rPr>
            <w:instrText xml:space="preserve"> CITATION NHR \l 1033 </w:instrText>
          </w:r>
          <w:r w:rsidR="00D20074" w:rsidRPr="006A68A4">
            <w:rPr>
              <w:rFonts w:asciiTheme="majorHAnsi" w:hAnsiTheme="majorHAnsi"/>
              <w:sz w:val="24"/>
              <w:szCs w:val="24"/>
            </w:rPr>
            <w:fldChar w:fldCharType="separate"/>
          </w:r>
          <w:r w:rsidRPr="006A68A4">
            <w:rPr>
              <w:rFonts w:asciiTheme="majorHAnsi" w:hAnsiTheme="majorHAnsi"/>
              <w:noProof/>
              <w:sz w:val="24"/>
              <w:szCs w:val="24"/>
            </w:rPr>
            <w:t>(NHRC)</w:t>
          </w:r>
          <w:r w:rsidR="00D20074" w:rsidRPr="006A68A4">
            <w:rPr>
              <w:rFonts w:asciiTheme="majorHAnsi" w:hAnsiTheme="majorHAnsi"/>
              <w:sz w:val="24"/>
              <w:szCs w:val="24"/>
            </w:rPr>
            <w:fldChar w:fldCharType="end"/>
          </w:r>
        </w:sdtContent>
      </w:sdt>
      <w:r w:rsidRPr="006A68A4">
        <w:rPr>
          <w:rFonts w:asciiTheme="majorHAnsi" w:hAnsiTheme="majorHAnsi"/>
          <w:sz w:val="24"/>
          <w:szCs w:val="24"/>
        </w:rPr>
        <w:t xml:space="preserve">. Generally, it is assumed that primary health care is the responsibility of the ULB and secondary and tertiary care is that of the state government. The examples of Bombay and Delhi are noteworthy which operates services at all levels </w:t>
      </w:r>
      <w:sdt>
        <w:sdtPr>
          <w:rPr>
            <w:rFonts w:asciiTheme="majorHAnsi" w:hAnsiTheme="majorHAnsi"/>
            <w:sz w:val="24"/>
            <w:szCs w:val="24"/>
          </w:rPr>
          <w:id w:val="12327777"/>
          <w:citation/>
        </w:sdtPr>
        <w:sdtContent>
          <w:r w:rsidR="00D20074" w:rsidRPr="006A68A4">
            <w:rPr>
              <w:rFonts w:asciiTheme="majorHAnsi" w:hAnsiTheme="majorHAnsi"/>
              <w:sz w:val="24"/>
              <w:szCs w:val="24"/>
            </w:rPr>
            <w:fldChar w:fldCharType="begin"/>
          </w:r>
          <w:r w:rsidRPr="006A68A4">
            <w:rPr>
              <w:rFonts w:asciiTheme="majorHAnsi" w:hAnsiTheme="majorHAnsi"/>
              <w:sz w:val="24"/>
              <w:szCs w:val="24"/>
            </w:rPr>
            <w:instrText xml:space="preserve"> CITATION PHR10 \l 1033  </w:instrText>
          </w:r>
          <w:r w:rsidR="00D20074" w:rsidRPr="006A68A4">
            <w:rPr>
              <w:rFonts w:asciiTheme="majorHAnsi" w:hAnsiTheme="majorHAnsi"/>
              <w:sz w:val="24"/>
              <w:szCs w:val="24"/>
            </w:rPr>
            <w:fldChar w:fldCharType="separate"/>
          </w:r>
          <w:r w:rsidRPr="006A68A4">
            <w:rPr>
              <w:rFonts w:asciiTheme="majorHAnsi" w:hAnsiTheme="majorHAnsi"/>
              <w:noProof/>
              <w:sz w:val="24"/>
              <w:szCs w:val="24"/>
            </w:rPr>
            <w:t>(PHRN, 2010)</w:t>
          </w:r>
          <w:r w:rsidR="00D20074" w:rsidRPr="006A68A4">
            <w:rPr>
              <w:rFonts w:asciiTheme="majorHAnsi" w:hAnsiTheme="majorHAnsi"/>
              <w:sz w:val="24"/>
              <w:szCs w:val="24"/>
            </w:rPr>
            <w:fldChar w:fldCharType="end"/>
          </w:r>
        </w:sdtContent>
      </w:sdt>
      <w:r w:rsidRPr="006A68A4">
        <w:rPr>
          <w:rFonts w:asciiTheme="majorHAnsi" w:hAnsiTheme="majorHAnsi"/>
          <w:sz w:val="24"/>
          <w:szCs w:val="24"/>
        </w:rPr>
        <w:t>. ULBs, particularly in smaller towns, need to make healthcare a priority, which usually lies low on their agenda.</w:t>
      </w:r>
    </w:p>
    <w:p w:rsidR="00B866A8" w:rsidRPr="006A68A4" w:rsidRDefault="00B866A8" w:rsidP="006A68A4">
      <w:pPr>
        <w:spacing w:after="100" w:afterAutospacing="1" w:line="264" w:lineRule="auto"/>
        <w:ind w:right="-45"/>
        <w:contextualSpacing/>
        <w:jc w:val="both"/>
        <w:rPr>
          <w:rFonts w:asciiTheme="majorHAnsi" w:hAnsiTheme="majorHAnsi"/>
          <w:sz w:val="24"/>
          <w:szCs w:val="24"/>
        </w:rPr>
      </w:pPr>
    </w:p>
    <w:p w:rsidR="006A68A4" w:rsidRDefault="006A68A4" w:rsidP="006A68A4">
      <w:pPr>
        <w:spacing w:after="100" w:afterAutospacing="1" w:line="264" w:lineRule="auto"/>
        <w:ind w:right="-46"/>
        <w:contextualSpacing/>
        <w:jc w:val="both"/>
        <w:rPr>
          <w:rFonts w:asciiTheme="majorHAnsi" w:hAnsiTheme="majorHAnsi"/>
          <w:sz w:val="24"/>
          <w:szCs w:val="24"/>
        </w:rPr>
      </w:pPr>
      <w:r w:rsidRPr="006A68A4">
        <w:rPr>
          <w:rFonts w:asciiTheme="majorHAnsi" w:hAnsiTheme="majorHAnsi"/>
          <w:sz w:val="24"/>
          <w:szCs w:val="24"/>
        </w:rPr>
        <w:t xml:space="preserve">Gujarat has embarked upon a number of policy initiatives, the establishment of Gujarat Urban Development Mission being one of them </w:t>
      </w:r>
      <w:sdt>
        <w:sdtPr>
          <w:rPr>
            <w:rFonts w:asciiTheme="majorHAnsi" w:hAnsiTheme="majorHAnsi"/>
            <w:sz w:val="24"/>
            <w:szCs w:val="24"/>
          </w:rPr>
          <w:id w:val="6518648"/>
          <w:citation/>
        </w:sdtPr>
        <w:sdtContent>
          <w:r w:rsidR="00D20074" w:rsidRPr="006A68A4">
            <w:rPr>
              <w:rFonts w:asciiTheme="majorHAnsi" w:hAnsiTheme="majorHAnsi"/>
              <w:sz w:val="24"/>
              <w:szCs w:val="24"/>
            </w:rPr>
            <w:fldChar w:fldCharType="begin"/>
          </w:r>
          <w:r w:rsidRPr="006A68A4">
            <w:rPr>
              <w:rFonts w:asciiTheme="majorHAnsi" w:hAnsiTheme="majorHAnsi"/>
              <w:sz w:val="24"/>
              <w:szCs w:val="24"/>
            </w:rPr>
            <w:instrText xml:space="preserve"> CITATION Das103 \l 1033  </w:instrText>
          </w:r>
          <w:r w:rsidR="00D20074" w:rsidRPr="006A68A4">
            <w:rPr>
              <w:rFonts w:asciiTheme="majorHAnsi" w:hAnsiTheme="majorHAnsi"/>
              <w:sz w:val="24"/>
              <w:szCs w:val="24"/>
            </w:rPr>
            <w:fldChar w:fldCharType="separate"/>
          </w:r>
          <w:r w:rsidRPr="006A68A4">
            <w:rPr>
              <w:rFonts w:asciiTheme="majorHAnsi" w:hAnsiTheme="majorHAnsi"/>
              <w:noProof/>
              <w:sz w:val="24"/>
              <w:szCs w:val="24"/>
            </w:rPr>
            <w:t>(Dasgupta, Ahmedabad and Surat:Urban Health Services, 2010)</w:t>
          </w:r>
          <w:r w:rsidR="00D20074" w:rsidRPr="006A68A4">
            <w:rPr>
              <w:rFonts w:asciiTheme="majorHAnsi" w:hAnsiTheme="majorHAnsi"/>
              <w:sz w:val="24"/>
              <w:szCs w:val="24"/>
            </w:rPr>
            <w:fldChar w:fldCharType="end"/>
          </w:r>
        </w:sdtContent>
      </w:sdt>
      <w:r w:rsidRPr="006A68A4">
        <w:rPr>
          <w:rFonts w:asciiTheme="majorHAnsi" w:hAnsiTheme="majorHAnsi"/>
          <w:sz w:val="24"/>
          <w:szCs w:val="24"/>
        </w:rPr>
        <w:t>. The state envisages establishment of a uniform urban primary healthcare system. Gujarat Urban Development Mission was established in 2005-06 to fast track urban reorganization and planned development. Following are some of the reforms undertaken:</w:t>
      </w:r>
    </w:p>
    <w:p w:rsidR="00B866A8" w:rsidRPr="006A68A4" w:rsidRDefault="00B866A8" w:rsidP="006A68A4">
      <w:pPr>
        <w:spacing w:after="100" w:afterAutospacing="1" w:line="264" w:lineRule="auto"/>
        <w:ind w:right="-46"/>
        <w:contextualSpacing/>
        <w:jc w:val="both"/>
        <w:rPr>
          <w:rFonts w:asciiTheme="majorHAnsi" w:hAnsiTheme="majorHAnsi"/>
          <w:sz w:val="24"/>
          <w:szCs w:val="24"/>
        </w:rPr>
      </w:pPr>
    </w:p>
    <w:p w:rsidR="006A68A4" w:rsidRPr="006A68A4" w:rsidRDefault="006A68A4" w:rsidP="006A68A4">
      <w:pPr>
        <w:numPr>
          <w:ilvl w:val="0"/>
          <w:numId w:val="8"/>
        </w:numPr>
        <w:spacing w:after="100" w:afterAutospacing="1" w:line="264" w:lineRule="auto"/>
        <w:ind w:right="-46"/>
        <w:contextualSpacing/>
        <w:jc w:val="both"/>
        <w:rPr>
          <w:rFonts w:asciiTheme="majorHAnsi" w:hAnsiTheme="majorHAnsi"/>
          <w:sz w:val="24"/>
          <w:szCs w:val="24"/>
        </w:rPr>
      </w:pPr>
      <w:r w:rsidRPr="006A68A4">
        <w:rPr>
          <w:rFonts w:asciiTheme="majorHAnsi" w:hAnsiTheme="majorHAnsi"/>
          <w:sz w:val="24"/>
          <w:szCs w:val="24"/>
        </w:rPr>
        <w:t>Emphasis on urban healthcare reforms</w:t>
      </w:r>
    </w:p>
    <w:p w:rsidR="006A68A4" w:rsidRPr="006A68A4" w:rsidRDefault="006A68A4" w:rsidP="006A68A4">
      <w:pPr>
        <w:numPr>
          <w:ilvl w:val="0"/>
          <w:numId w:val="8"/>
        </w:numPr>
        <w:spacing w:after="100" w:afterAutospacing="1" w:line="264" w:lineRule="auto"/>
        <w:ind w:right="-46"/>
        <w:contextualSpacing/>
        <w:jc w:val="both"/>
        <w:rPr>
          <w:rFonts w:asciiTheme="majorHAnsi" w:hAnsiTheme="majorHAnsi"/>
          <w:sz w:val="24"/>
          <w:szCs w:val="24"/>
        </w:rPr>
      </w:pPr>
      <w:r w:rsidRPr="006A68A4">
        <w:rPr>
          <w:rFonts w:asciiTheme="majorHAnsi" w:hAnsiTheme="majorHAnsi"/>
          <w:sz w:val="24"/>
          <w:szCs w:val="24"/>
        </w:rPr>
        <w:t>Gujarat Urban Health Project born in 2009</w:t>
      </w:r>
    </w:p>
    <w:p w:rsidR="006A68A4" w:rsidRPr="006A68A4" w:rsidRDefault="006A68A4" w:rsidP="006A68A4">
      <w:pPr>
        <w:numPr>
          <w:ilvl w:val="0"/>
          <w:numId w:val="8"/>
        </w:numPr>
        <w:spacing w:after="100" w:afterAutospacing="1" w:line="264" w:lineRule="auto"/>
        <w:ind w:right="-46"/>
        <w:contextualSpacing/>
        <w:jc w:val="both"/>
        <w:rPr>
          <w:rFonts w:asciiTheme="majorHAnsi" w:hAnsiTheme="majorHAnsi"/>
          <w:sz w:val="24"/>
          <w:szCs w:val="24"/>
        </w:rPr>
      </w:pPr>
      <w:r w:rsidRPr="006A68A4">
        <w:rPr>
          <w:rFonts w:asciiTheme="majorHAnsi" w:hAnsiTheme="majorHAnsi"/>
          <w:sz w:val="24"/>
          <w:szCs w:val="24"/>
        </w:rPr>
        <w:t>Uniform Urban Primary Healthcare system for urban areas</w:t>
      </w:r>
    </w:p>
    <w:p w:rsidR="006A68A4" w:rsidRPr="006A68A4" w:rsidRDefault="006A68A4" w:rsidP="006A68A4">
      <w:pPr>
        <w:numPr>
          <w:ilvl w:val="0"/>
          <w:numId w:val="8"/>
        </w:numPr>
        <w:spacing w:after="100" w:afterAutospacing="1" w:line="264" w:lineRule="auto"/>
        <w:ind w:right="-46"/>
        <w:contextualSpacing/>
        <w:jc w:val="both"/>
        <w:rPr>
          <w:rFonts w:asciiTheme="majorHAnsi" w:hAnsiTheme="majorHAnsi"/>
          <w:sz w:val="24"/>
          <w:szCs w:val="24"/>
        </w:rPr>
      </w:pPr>
      <w:r w:rsidRPr="006A68A4">
        <w:rPr>
          <w:rFonts w:asciiTheme="majorHAnsi" w:hAnsiTheme="majorHAnsi"/>
          <w:sz w:val="24"/>
          <w:szCs w:val="24"/>
        </w:rPr>
        <w:t>The unit of activity is the Urban Health Centre, each of which caters to a population of 1,00,000</w:t>
      </w:r>
    </w:p>
    <w:p w:rsidR="006A68A4" w:rsidRPr="006A68A4" w:rsidRDefault="006A68A4" w:rsidP="006A68A4">
      <w:pPr>
        <w:numPr>
          <w:ilvl w:val="0"/>
          <w:numId w:val="8"/>
        </w:numPr>
        <w:spacing w:after="100" w:afterAutospacing="1" w:line="264" w:lineRule="auto"/>
        <w:ind w:right="-46"/>
        <w:contextualSpacing/>
        <w:jc w:val="both"/>
        <w:rPr>
          <w:rFonts w:asciiTheme="majorHAnsi" w:hAnsiTheme="majorHAnsi"/>
          <w:sz w:val="24"/>
          <w:szCs w:val="24"/>
        </w:rPr>
      </w:pPr>
      <w:r w:rsidRPr="006A68A4">
        <w:rPr>
          <w:rFonts w:asciiTheme="majorHAnsi" w:hAnsiTheme="majorHAnsi"/>
          <w:sz w:val="24"/>
          <w:szCs w:val="24"/>
        </w:rPr>
        <w:t>They provide a range of services : OPD, IPD, MH care, National programs, registration of births and deaths, health education, immunization, surveillance</w:t>
      </w:r>
    </w:p>
    <w:p w:rsidR="006A68A4" w:rsidRPr="006A68A4" w:rsidRDefault="006A68A4" w:rsidP="006A68A4">
      <w:pPr>
        <w:numPr>
          <w:ilvl w:val="0"/>
          <w:numId w:val="8"/>
        </w:numPr>
        <w:spacing w:after="100" w:afterAutospacing="1" w:line="264" w:lineRule="auto"/>
        <w:ind w:right="-46"/>
        <w:contextualSpacing/>
        <w:jc w:val="both"/>
        <w:rPr>
          <w:rFonts w:asciiTheme="majorHAnsi" w:hAnsiTheme="majorHAnsi"/>
          <w:sz w:val="24"/>
          <w:szCs w:val="24"/>
        </w:rPr>
      </w:pPr>
      <w:r w:rsidRPr="006A68A4">
        <w:rPr>
          <w:rFonts w:asciiTheme="majorHAnsi" w:hAnsiTheme="majorHAnsi"/>
          <w:sz w:val="24"/>
          <w:szCs w:val="24"/>
        </w:rPr>
        <w:t>The Basic Health Worker is responsible for vector control activities apart from other routine activities</w:t>
      </w:r>
    </w:p>
    <w:p w:rsidR="006A68A4" w:rsidRDefault="006A68A4" w:rsidP="006A68A4">
      <w:pPr>
        <w:numPr>
          <w:ilvl w:val="0"/>
          <w:numId w:val="8"/>
        </w:numPr>
        <w:spacing w:after="100" w:afterAutospacing="1" w:line="264" w:lineRule="auto"/>
        <w:ind w:right="-46"/>
        <w:contextualSpacing/>
        <w:jc w:val="both"/>
        <w:rPr>
          <w:rFonts w:asciiTheme="majorHAnsi" w:hAnsiTheme="majorHAnsi"/>
          <w:sz w:val="24"/>
          <w:szCs w:val="24"/>
        </w:rPr>
      </w:pPr>
      <w:r w:rsidRPr="006A68A4">
        <w:rPr>
          <w:rFonts w:asciiTheme="majorHAnsi" w:hAnsiTheme="majorHAnsi"/>
          <w:sz w:val="24"/>
          <w:szCs w:val="24"/>
        </w:rPr>
        <w:t xml:space="preserve">The state boasts of an innovative School Health Program, a strong IDSP and a </w:t>
      </w:r>
      <w:r w:rsidR="00B60A4B" w:rsidRPr="006A68A4">
        <w:rPr>
          <w:rFonts w:asciiTheme="majorHAnsi" w:hAnsiTheme="majorHAnsi"/>
          <w:sz w:val="24"/>
          <w:szCs w:val="24"/>
        </w:rPr>
        <w:t>well-functioning</w:t>
      </w:r>
      <w:r w:rsidRPr="006A68A4">
        <w:rPr>
          <w:rFonts w:asciiTheme="majorHAnsi" w:hAnsiTheme="majorHAnsi"/>
          <w:sz w:val="24"/>
          <w:szCs w:val="24"/>
        </w:rPr>
        <w:t xml:space="preserve"> RNTCP </w:t>
      </w:r>
    </w:p>
    <w:p w:rsidR="001765C7" w:rsidRPr="006A68A4" w:rsidRDefault="001765C7" w:rsidP="001765C7">
      <w:pPr>
        <w:spacing w:after="100" w:afterAutospacing="1" w:line="264" w:lineRule="auto"/>
        <w:ind w:left="720" w:right="-46"/>
        <w:contextualSpacing/>
        <w:jc w:val="both"/>
        <w:rPr>
          <w:rFonts w:asciiTheme="majorHAnsi" w:hAnsiTheme="majorHAnsi"/>
          <w:sz w:val="24"/>
          <w:szCs w:val="24"/>
        </w:rPr>
      </w:pPr>
    </w:p>
    <w:p w:rsidR="006A68A4" w:rsidRDefault="006A68A4" w:rsidP="006A68A4">
      <w:pPr>
        <w:spacing w:after="100" w:afterAutospacing="1" w:line="264" w:lineRule="auto"/>
        <w:ind w:left="360" w:right="-46"/>
        <w:contextualSpacing/>
        <w:jc w:val="both"/>
        <w:rPr>
          <w:rFonts w:asciiTheme="majorHAnsi" w:hAnsiTheme="majorHAnsi"/>
          <w:sz w:val="24"/>
          <w:szCs w:val="24"/>
        </w:rPr>
      </w:pPr>
      <w:r w:rsidRPr="006A68A4">
        <w:rPr>
          <w:rFonts w:asciiTheme="majorHAnsi" w:hAnsiTheme="majorHAnsi"/>
          <w:sz w:val="24"/>
          <w:szCs w:val="24"/>
        </w:rPr>
        <w:t xml:space="preserve">The example of Surat is there for all of us to see. Surat owes its rapid transformation to the reorganization and revitalization of its Municipal Corporation </w:t>
      </w:r>
      <w:sdt>
        <w:sdtPr>
          <w:rPr>
            <w:rFonts w:asciiTheme="majorHAnsi" w:hAnsiTheme="majorHAnsi"/>
            <w:sz w:val="24"/>
            <w:szCs w:val="24"/>
          </w:rPr>
          <w:id w:val="6518616"/>
          <w:citation/>
        </w:sdtPr>
        <w:sdtContent>
          <w:r w:rsidR="00D20074" w:rsidRPr="006A68A4">
            <w:rPr>
              <w:rFonts w:asciiTheme="majorHAnsi" w:hAnsiTheme="majorHAnsi"/>
              <w:sz w:val="24"/>
              <w:szCs w:val="24"/>
            </w:rPr>
            <w:fldChar w:fldCharType="begin"/>
          </w:r>
          <w:r w:rsidRPr="006A68A4">
            <w:rPr>
              <w:rFonts w:asciiTheme="majorHAnsi" w:hAnsiTheme="majorHAnsi"/>
              <w:sz w:val="24"/>
              <w:szCs w:val="24"/>
            </w:rPr>
            <w:instrText xml:space="preserve"> CITATION Das102 \l 1033 </w:instrText>
          </w:r>
          <w:r w:rsidR="00D20074" w:rsidRPr="006A68A4">
            <w:rPr>
              <w:rFonts w:asciiTheme="majorHAnsi" w:hAnsiTheme="majorHAnsi"/>
              <w:sz w:val="24"/>
              <w:szCs w:val="24"/>
            </w:rPr>
            <w:fldChar w:fldCharType="separate"/>
          </w:r>
          <w:r w:rsidRPr="006A68A4">
            <w:rPr>
              <w:rFonts w:asciiTheme="majorHAnsi" w:hAnsiTheme="majorHAnsi"/>
              <w:noProof/>
              <w:sz w:val="24"/>
              <w:szCs w:val="24"/>
            </w:rPr>
            <w:t>(Dasgupta, Public Health in Urban India:Lessons from Surat, 2010)</w:t>
          </w:r>
          <w:r w:rsidR="00D20074" w:rsidRPr="006A68A4">
            <w:rPr>
              <w:rFonts w:asciiTheme="majorHAnsi" w:hAnsiTheme="majorHAnsi"/>
              <w:sz w:val="24"/>
              <w:szCs w:val="24"/>
            </w:rPr>
            <w:fldChar w:fldCharType="end"/>
          </w:r>
        </w:sdtContent>
      </w:sdt>
      <w:r w:rsidRPr="006A68A4">
        <w:rPr>
          <w:rFonts w:asciiTheme="majorHAnsi" w:hAnsiTheme="majorHAnsi"/>
          <w:sz w:val="24"/>
          <w:szCs w:val="24"/>
        </w:rPr>
        <w:t xml:space="preserve">. The Municipal Commissioner </w:t>
      </w:r>
      <w:r w:rsidRPr="006A68A4">
        <w:rPr>
          <w:rFonts w:asciiTheme="majorHAnsi" w:hAnsiTheme="majorHAnsi"/>
          <w:sz w:val="24"/>
          <w:szCs w:val="24"/>
        </w:rPr>
        <w:lastRenderedPageBreak/>
        <w:t xml:space="preserve">supervised activities directly, and initiated punitive action against erring staff, at the same time rewarding good performance. The staff strength too was increased tremendously, from 19 to 114 percent at different levels. Surat’s network of Urban Health Centres was expanded, and Surveillance Centres established. With improvement in water supply and sanitation, cases of gastroenteritis have declined.       </w:t>
      </w:r>
    </w:p>
    <w:p w:rsidR="00B866A8" w:rsidRPr="006A68A4" w:rsidRDefault="00B866A8" w:rsidP="006A68A4">
      <w:pPr>
        <w:spacing w:after="100" w:afterAutospacing="1" w:line="264" w:lineRule="auto"/>
        <w:ind w:left="360" w:right="-46"/>
        <w:contextualSpacing/>
        <w:jc w:val="both"/>
        <w:rPr>
          <w:rFonts w:asciiTheme="majorHAnsi" w:hAnsiTheme="majorHAnsi"/>
          <w:sz w:val="24"/>
          <w:szCs w:val="24"/>
        </w:rPr>
      </w:pPr>
    </w:p>
    <w:p w:rsidR="006A68A4" w:rsidRDefault="00B866A8" w:rsidP="006A68A4">
      <w:pPr>
        <w:spacing w:line="264" w:lineRule="auto"/>
        <w:contextualSpacing/>
        <w:jc w:val="both"/>
        <w:rPr>
          <w:rFonts w:asciiTheme="majorHAnsi" w:hAnsiTheme="majorHAnsi"/>
          <w:b/>
          <w:bCs/>
          <w:sz w:val="24"/>
          <w:szCs w:val="24"/>
        </w:rPr>
      </w:pPr>
      <w:r>
        <w:rPr>
          <w:rFonts w:asciiTheme="majorHAnsi" w:hAnsiTheme="majorHAnsi"/>
          <w:b/>
          <w:bCs/>
          <w:sz w:val="24"/>
          <w:szCs w:val="24"/>
        </w:rPr>
        <w:t xml:space="preserve">TOR Question 5: </w:t>
      </w:r>
      <w:r w:rsidR="006A68A4" w:rsidRPr="006A68A4">
        <w:rPr>
          <w:rFonts w:asciiTheme="majorHAnsi" w:hAnsiTheme="majorHAnsi"/>
          <w:b/>
          <w:bCs/>
          <w:sz w:val="24"/>
          <w:szCs w:val="24"/>
        </w:rPr>
        <w:t>What are the current secondary and tertiary institutional health arrangements, and the systems and efficacy of referral arrangements to these from primary and community outreach levels? If these referral systems do not work, what are the reasons and barriers to effective referrals?</w:t>
      </w:r>
    </w:p>
    <w:p w:rsidR="00B866A8" w:rsidRPr="006A68A4" w:rsidRDefault="00B866A8" w:rsidP="006A68A4">
      <w:pPr>
        <w:spacing w:line="264" w:lineRule="auto"/>
        <w:contextualSpacing/>
        <w:jc w:val="both"/>
        <w:rPr>
          <w:rFonts w:asciiTheme="majorHAnsi" w:hAnsiTheme="majorHAnsi"/>
          <w:b/>
          <w:bCs/>
          <w:sz w:val="24"/>
          <w:szCs w:val="24"/>
        </w:rPr>
      </w:pPr>
    </w:p>
    <w:p w:rsid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 xml:space="preserve">Multiple agencies are involved in providing these services in urban areas. Secondary and tertiary care institutions are located primarily in urban areas. They serve both urban and rural areas. A third of their patients are from rural areas. Though highly developed, they bear the burden of providing healthcare in urban areas </w:t>
      </w:r>
      <w:sdt>
        <w:sdtPr>
          <w:rPr>
            <w:rFonts w:asciiTheme="majorHAnsi" w:hAnsiTheme="majorHAnsi"/>
            <w:sz w:val="24"/>
            <w:szCs w:val="24"/>
          </w:rPr>
          <w:id w:val="11901727"/>
          <w:citation/>
        </w:sdtPr>
        <w:sdtContent>
          <w:r w:rsidR="00D20074" w:rsidRPr="006A68A4">
            <w:rPr>
              <w:rFonts w:asciiTheme="majorHAnsi" w:hAnsiTheme="majorHAnsi"/>
              <w:sz w:val="24"/>
              <w:szCs w:val="24"/>
            </w:rPr>
            <w:fldChar w:fldCharType="begin"/>
          </w:r>
          <w:r w:rsidRPr="006A68A4">
            <w:rPr>
              <w:rFonts w:asciiTheme="majorHAnsi" w:hAnsiTheme="majorHAnsi"/>
              <w:sz w:val="24"/>
              <w:szCs w:val="24"/>
            </w:rPr>
            <w:instrText xml:space="preserve"> CITATION Cha101 \l 1033 </w:instrText>
          </w:r>
          <w:r w:rsidR="00D20074" w:rsidRPr="006A68A4">
            <w:rPr>
              <w:rFonts w:asciiTheme="majorHAnsi" w:hAnsiTheme="majorHAnsi"/>
              <w:sz w:val="24"/>
              <w:szCs w:val="24"/>
            </w:rPr>
            <w:fldChar w:fldCharType="separate"/>
          </w:r>
          <w:r w:rsidRPr="006A68A4">
            <w:rPr>
              <w:rFonts w:asciiTheme="majorHAnsi" w:hAnsiTheme="majorHAnsi"/>
              <w:noProof/>
              <w:sz w:val="24"/>
              <w:szCs w:val="24"/>
            </w:rPr>
            <w:t>(Chatterjee, Urban Health:Policy and Polity, 2010)</w:t>
          </w:r>
          <w:r w:rsidR="00D20074" w:rsidRPr="006A68A4">
            <w:rPr>
              <w:rFonts w:asciiTheme="majorHAnsi" w:hAnsiTheme="majorHAnsi"/>
              <w:sz w:val="24"/>
              <w:szCs w:val="24"/>
            </w:rPr>
            <w:fldChar w:fldCharType="end"/>
          </w:r>
        </w:sdtContent>
      </w:sdt>
      <w:r w:rsidRPr="006A68A4">
        <w:rPr>
          <w:rFonts w:asciiTheme="majorHAnsi" w:hAnsiTheme="majorHAnsi"/>
          <w:sz w:val="24"/>
          <w:szCs w:val="24"/>
        </w:rPr>
        <w:t xml:space="preserve">. This compromises the quality of care they are providing. </w:t>
      </w:r>
    </w:p>
    <w:p w:rsidR="00B866A8" w:rsidRPr="006A68A4" w:rsidRDefault="00B866A8" w:rsidP="006A68A4">
      <w:pPr>
        <w:spacing w:line="264" w:lineRule="auto"/>
        <w:contextualSpacing/>
        <w:jc w:val="both"/>
        <w:rPr>
          <w:rFonts w:asciiTheme="majorHAnsi" w:hAnsiTheme="majorHAnsi"/>
          <w:sz w:val="24"/>
          <w:szCs w:val="24"/>
        </w:rPr>
      </w:pPr>
    </w:p>
    <w:p w:rsid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 xml:space="preserve">Mumbai has fourteen general hospitals handling all cases. They also serve as FRUs for maternity hospitals. They are equipped to handle all kinds of emergencies </w:t>
      </w:r>
      <w:sdt>
        <w:sdtPr>
          <w:rPr>
            <w:rFonts w:asciiTheme="majorHAnsi" w:hAnsiTheme="majorHAnsi"/>
            <w:sz w:val="24"/>
            <w:szCs w:val="24"/>
          </w:rPr>
          <w:id w:val="3780544"/>
          <w:citation/>
        </w:sdtPr>
        <w:sdtContent>
          <w:r w:rsidR="00D20074" w:rsidRPr="006A68A4">
            <w:rPr>
              <w:rFonts w:asciiTheme="majorHAnsi" w:hAnsiTheme="majorHAnsi"/>
              <w:sz w:val="24"/>
              <w:szCs w:val="24"/>
            </w:rPr>
            <w:fldChar w:fldCharType="begin"/>
          </w:r>
          <w:r w:rsidRPr="006A68A4">
            <w:rPr>
              <w:rFonts w:asciiTheme="majorHAnsi" w:hAnsiTheme="majorHAnsi"/>
              <w:sz w:val="24"/>
              <w:szCs w:val="24"/>
            </w:rPr>
            <w:instrText xml:space="preserve"> CITATION PHR10 \l 1033 </w:instrText>
          </w:r>
          <w:r w:rsidR="00D20074" w:rsidRPr="006A68A4">
            <w:rPr>
              <w:rFonts w:asciiTheme="majorHAnsi" w:hAnsiTheme="majorHAnsi"/>
              <w:sz w:val="24"/>
              <w:szCs w:val="24"/>
            </w:rPr>
            <w:fldChar w:fldCharType="separate"/>
          </w:r>
          <w:r w:rsidRPr="006A68A4">
            <w:rPr>
              <w:rFonts w:asciiTheme="majorHAnsi" w:hAnsiTheme="majorHAnsi"/>
              <w:noProof/>
              <w:sz w:val="24"/>
              <w:szCs w:val="24"/>
            </w:rPr>
            <w:t>(PHRN, 2010)</w:t>
          </w:r>
          <w:r w:rsidR="00D20074" w:rsidRPr="006A68A4">
            <w:rPr>
              <w:rFonts w:asciiTheme="majorHAnsi" w:hAnsiTheme="majorHAnsi"/>
              <w:sz w:val="24"/>
              <w:szCs w:val="24"/>
            </w:rPr>
            <w:fldChar w:fldCharType="end"/>
          </w:r>
        </w:sdtContent>
      </w:sdt>
      <w:r w:rsidRPr="006A68A4">
        <w:rPr>
          <w:rFonts w:asciiTheme="majorHAnsi" w:hAnsiTheme="majorHAnsi"/>
          <w:sz w:val="24"/>
          <w:szCs w:val="24"/>
        </w:rPr>
        <w:t>. There are three tertiary ho</w:t>
      </w:r>
      <w:r w:rsidR="001765C7">
        <w:rPr>
          <w:rFonts w:asciiTheme="majorHAnsi" w:hAnsiTheme="majorHAnsi"/>
          <w:sz w:val="24"/>
          <w:szCs w:val="24"/>
        </w:rPr>
        <w:t>spitals which are super special</w:t>
      </w:r>
      <w:r w:rsidRPr="006A68A4">
        <w:rPr>
          <w:rFonts w:asciiTheme="majorHAnsi" w:hAnsiTheme="majorHAnsi"/>
          <w:sz w:val="24"/>
          <w:szCs w:val="24"/>
        </w:rPr>
        <w:t xml:space="preserve">ty and teaching hospitals. However, they handle majority of the case load and are accessed directly by patients. These are managed by the Municipal Corporation of Mumbai. But this is not the case elsewhere in the country, where secondary and tertiary institutions continue to be under the Centre or State governments. </w:t>
      </w:r>
    </w:p>
    <w:p w:rsidR="00B866A8" w:rsidRPr="006A68A4" w:rsidRDefault="00B866A8" w:rsidP="006A68A4">
      <w:pPr>
        <w:spacing w:line="264" w:lineRule="auto"/>
        <w:contextualSpacing/>
        <w:jc w:val="both"/>
        <w:rPr>
          <w:rFonts w:asciiTheme="majorHAnsi" w:hAnsiTheme="majorHAnsi"/>
          <w:sz w:val="24"/>
          <w:szCs w:val="24"/>
        </w:rPr>
      </w:pPr>
    </w:p>
    <w:p w:rsid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 xml:space="preserve">Of the 706 secondary and tertiary care institutions in Delhi, 118 hospitals are in the public health sector </w:t>
      </w:r>
      <w:sdt>
        <w:sdtPr>
          <w:rPr>
            <w:rFonts w:asciiTheme="majorHAnsi" w:hAnsiTheme="majorHAnsi"/>
            <w:sz w:val="24"/>
            <w:szCs w:val="24"/>
          </w:rPr>
          <w:id w:val="3780545"/>
          <w:citation/>
        </w:sdtPr>
        <w:sdtContent>
          <w:r w:rsidR="00D20074" w:rsidRPr="006A68A4">
            <w:rPr>
              <w:rFonts w:asciiTheme="majorHAnsi" w:hAnsiTheme="majorHAnsi"/>
              <w:sz w:val="24"/>
              <w:szCs w:val="24"/>
            </w:rPr>
            <w:fldChar w:fldCharType="begin"/>
          </w:r>
          <w:r w:rsidRPr="006A68A4">
            <w:rPr>
              <w:rFonts w:asciiTheme="majorHAnsi" w:hAnsiTheme="majorHAnsi"/>
              <w:sz w:val="24"/>
              <w:szCs w:val="24"/>
            </w:rPr>
            <w:instrText xml:space="preserve"> CITATION PHR10 \l 1033 </w:instrText>
          </w:r>
          <w:r w:rsidR="00D20074" w:rsidRPr="006A68A4">
            <w:rPr>
              <w:rFonts w:asciiTheme="majorHAnsi" w:hAnsiTheme="majorHAnsi"/>
              <w:sz w:val="24"/>
              <w:szCs w:val="24"/>
            </w:rPr>
            <w:fldChar w:fldCharType="separate"/>
          </w:r>
          <w:r w:rsidRPr="006A68A4">
            <w:rPr>
              <w:rFonts w:asciiTheme="majorHAnsi" w:hAnsiTheme="majorHAnsi"/>
              <w:noProof/>
              <w:sz w:val="24"/>
              <w:szCs w:val="24"/>
            </w:rPr>
            <w:t>(PHRN, 2010)</w:t>
          </w:r>
          <w:r w:rsidR="00D20074" w:rsidRPr="006A68A4">
            <w:rPr>
              <w:rFonts w:asciiTheme="majorHAnsi" w:hAnsiTheme="majorHAnsi"/>
              <w:sz w:val="24"/>
              <w:szCs w:val="24"/>
            </w:rPr>
            <w:fldChar w:fldCharType="end"/>
          </w:r>
        </w:sdtContent>
      </w:sdt>
      <w:r w:rsidRPr="006A68A4">
        <w:rPr>
          <w:rFonts w:asciiTheme="majorHAnsi" w:hAnsiTheme="majorHAnsi"/>
          <w:sz w:val="24"/>
          <w:szCs w:val="24"/>
        </w:rPr>
        <w:t xml:space="preserve">. Of these, 31 are being run by the Govt. of NCT of Delhi, 53 by the MCD, 4 by NDMC. There are 24 Central Government hospitals including ESIC and Railway hospitals. Multiplicity of agencies leads to problems of overlapping and gaps in service provisioning. Efforts to streamline these services have not been successful in Delhi </w:t>
      </w:r>
      <w:sdt>
        <w:sdtPr>
          <w:rPr>
            <w:rFonts w:asciiTheme="majorHAnsi" w:hAnsiTheme="majorHAnsi"/>
            <w:sz w:val="24"/>
            <w:szCs w:val="24"/>
          </w:rPr>
          <w:id w:val="3780676"/>
          <w:citation/>
        </w:sdtPr>
        <w:sdtContent>
          <w:r w:rsidR="00D20074" w:rsidRPr="006A68A4">
            <w:rPr>
              <w:rFonts w:asciiTheme="majorHAnsi" w:hAnsiTheme="majorHAnsi"/>
              <w:sz w:val="24"/>
              <w:szCs w:val="24"/>
            </w:rPr>
            <w:fldChar w:fldCharType="begin"/>
          </w:r>
          <w:r w:rsidRPr="006A68A4">
            <w:rPr>
              <w:rFonts w:asciiTheme="majorHAnsi" w:hAnsiTheme="majorHAnsi"/>
              <w:sz w:val="24"/>
              <w:szCs w:val="24"/>
            </w:rPr>
            <w:instrText xml:space="preserve"> CITATION Cha10 \l 1033 </w:instrText>
          </w:r>
          <w:r w:rsidR="00D20074" w:rsidRPr="006A68A4">
            <w:rPr>
              <w:rFonts w:asciiTheme="majorHAnsi" w:hAnsiTheme="majorHAnsi"/>
              <w:sz w:val="24"/>
              <w:szCs w:val="24"/>
            </w:rPr>
            <w:fldChar w:fldCharType="separate"/>
          </w:r>
          <w:r w:rsidRPr="006A68A4">
            <w:rPr>
              <w:rFonts w:asciiTheme="majorHAnsi" w:hAnsiTheme="majorHAnsi"/>
              <w:noProof/>
              <w:sz w:val="24"/>
              <w:szCs w:val="24"/>
            </w:rPr>
            <w:t>(Chatterjee, McKinsey's Urban Governance and Planning:Relevance to Health, 2010)</w:t>
          </w:r>
          <w:r w:rsidR="00D20074" w:rsidRPr="006A68A4">
            <w:rPr>
              <w:rFonts w:asciiTheme="majorHAnsi" w:hAnsiTheme="majorHAnsi"/>
              <w:sz w:val="24"/>
              <w:szCs w:val="24"/>
            </w:rPr>
            <w:fldChar w:fldCharType="end"/>
          </w:r>
        </w:sdtContent>
      </w:sdt>
      <w:r w:rsidRPr="006A68A4">
        <w:rPr>
          <w:rFonts w:asciiTheme="majorHAnsi" w:hAnsiTheme="majorHAnsi"/>
          <w:sz w:val="24"/>
          <w:szCs w:val="24"/>
        </w:rPr>
        <w:t xml:space="preserve">. </w:t>
      </w:r>
    </w:p>
    <w:p w:rsidR="00B866A8" w:rsidRPr="006A68A4" w:rsidRDefault="00B866A8" w:rsidP="006A68A4">
      <w:pPr>
        <w:spacing w:line="264" w:lineRule="auto"/>
        <w:contextualSpacing/>
        <w:jc w:val="both"/>
        <w:rPr>
          <w:rFonts w:asciiTheme="majorHAnsi" w:hAnsiTheme="majorHAnsi"/>
          <w:sz w:val="24"/>
          <w:szCs w:val="24"/>
        </w:rPr>
      </w:pPr>
    </w:p>
    <w:p w:rsid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 xml:space="preserve">The private hospitals have a considerable presence in this sector. However, the regulatory framework being weak, they often indulge in overmedication and unnecessary interventions </w:t>
      </w:r>
      <w:sdt>
        <w:sdtPr>
          <w:rPr>
            <w:rFonts w:asciiTheme="majorHAnsi" w:hAnsiTheme="majorHAnsi"/>
            <w:sz w:val="24"/>
            <w:szCs w:val="24"/>
          </w:rPr>
          <w:id w:val="3780547"/>
          <w:citation/>
        </w:sdtPr>
        <w:sdtContent>
          <w:r w:rsidR="00D20074" w:rsidRPr="006A68A4">
            <w:rPr>
              <w:rFonts w:asciiTheme="majorHAnsi" w:hAnsiTheme="majorHAnsi"/>
              <w:sz w:val="24"/>
              <w:szCs w:val="24"/>
            </w:rPr>
            <w:fldChar w:fldCharType="begin"/>
          </w:r>
          <w:r w:rsidRPr="006A68A4">
            <w:rPr>
              <w:rFonts w:asciiTheme="majorHAnsi" w:hAnsiTheme="majorHAnsi"/>
              <w:sz w:val="24"/>
              <w:szCs w:val="24"/>
            </w:rPr>
            <w:instrText xml:space="preserve"> CITATION PHR10 \l 1033 </w:instrText>
          </w:r>
          <w:r w:rsidR="00D20074" w:rsidRPr="006A68A4">
            <w:rPr>
              <w:rFonts w:asciiTheme="majorHAnsi" w:hAnsiTheme="majorHAnsi"/>
              <w:sz w:val="24"/>
              <w:szCs w:val="24"/>
            </w:rPr>
            <w:fldChar w:fldCharType="separate"/>
          </w:r>
          <w:r w:rsidRPr="006A68A4">
            <w:rPr>
              <w:rFonts w:asciiTheme="majorHAnsi" w:hAnsiTheme="majorHAnsi"/>
              <w:noProof/>
              <w:sz w:val="24"/>
              <w:szCs w:val="24"/>
            </w:rPr>
            <w:t>(PHRN, 2010)</w:t>
          </w:r>
          <w:r w:rsidR="00D20074" w:rsidRPr="006A68A4">
            <w:rPr>
              <w:rFonts w:asciiTheme="majorHAnsi" w:hAnsiTheme="majorHAnsi"/>
              <w:sz w:val="24"/>
              <w:szCs w:val="24"/>
            </w:rPr>
            <w:fldChar w:fldCharType="end"/>
          </w:r>
        </w:sdtContent>
      </w:sdt>
      <w:r w:rsidRPr="006A68A4">
        <w:rPr>
          <w:rFonts w:asciiTheme="majorHAnsi" w:hAnsiTheme="majorHAnsi"/>
          <w:sz w:val="24"/>
          <w:szCs w:val="24"/>
        </w:rPr>
        <w:t xml:space="preserve">. The roles of local and state governments need to be clearly defined in this field. The ULBs being resource constrained, secondary and tertiary care institutions are largely run by the state government. </w:t>
      </w:r>
    </w:p>
    <w:p w:rsidR="00B60A4B" w:rsidRPr="006A68A4" w:rsidRDefault="00B60A4B" w:rsidP="006A68A4">
      <w:pPr>
        <w:spacing w:line="264" w:lineRule="auto"/>
        <w:contextualSpacing/>
        <w:jc w:val="both"/>
        <w:rPr>
          <w:rFonts w:asciiTheme="majorHAnsi" w:hAnsiTheme="majorHAnsi"/>
          <w:sz w:val="24"/>
          <w:szCs w:val="24"/>
        </w:rPr>
      </w:pPr>
    </w:p>
    <w:p w:rsid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 xml:space="preserve">The linkages between these levels need to be defined and strengthened in the form of a referral chain.  At present, this chain remains extremely weak. This is another reason for the people directly accessing the secondary and tertiary healthcare facilities.  </w:t>
      </w:r>
    </w:p>
    <w:p w:rsidR="006A68A4" w:rsidRDefault="00B866A8" w:rsidP="006A68A4">
      <w:pPr>
        <w:spacing w:line="264" w:lineRule="auto"/>
        <w:contextualSpacing/>
        <w:jc w:val="both"/>
        <w:rPr>
          <w:rFonts w:asciiTheme="majorHAnsi" w:hAnsiTheme="majorHAnsi"/>
          <w:b/>
          <w:bCs/>
          <w:sz w:val="24"/>
          <w:szCs w:val="24"/>
        </w:rPr>
      </w:pPr>
      <w:r>
        <w:rPr>
          <w:rFonts w:asciiTheme="majorHAnsi" w:hAnsiTheme="majorHAnsi"/>
          <w:b/>
          <w:bCs/>
          <w:sz w:val="24"/>
          <w:szCs w:val="24"/>
        </w:rPr>
        <w:lastRenderedPageBreak/>
        <w:t xml:space="preserve">TOR Question 6: </w:t>
      </w:r>
      <w:r w:rsidR="006A68A4" w:rsidRPr="006A68A4">
        <w:rPr>
          <w:rFonts w:asciiTheme="majorHAnsi" w:hAnsiTheme="majorHAnsi"/>
          <w:b/>
          <w:bCs/>
          <w:sz w:val="24"/>
          <w:szCs w:val="24"/>
        </w:rPr>
        <w:t>What are the current institutional arrangements for vertical health programmes, especially those significant for urban poor populations, including RCH, TB, leprosy, HIV AIDS and mental health? How should these be integrated into the proposed institutional structures for the UHM for delivery of primary health services to the targeted urban populations?</w:t>
      </w:r>
    </w:p>
    <w:p w:rsidR="00B866A8" w:rsidRPr="006A68A4" w:rsidRDefault="00B866A8" w:rsidP="006A68A4">
      <w:pPr>
        <w:spacing w:line="264" w:lineRule="auto"/>
        <w:contextualSpacing/>
        <w:jc w:val="both"/>
        <w:rPr>
          <w:rFonts w:asciiTheme="majorHAnsi" w:hAnsiTheme="majorHAnsi"/>
          <w:b/>
          <w:bCs/>
          <w:sz w:val="24"/>
          <w:szCs w:val="24"/>
        </w:rPr>
      </w:pPr>
    </w:p>
    <w:p w:rsidR="006A68A4" w:rsidRDefault="006A68A4" w:rsidP="006A68A4">
      <w:pPr>
        <w:spacing w:after="100" w:afterAutospacing="1" w:line="264" w:lineRule="auto"/>
        <w:ind w:right="-46"/>
        <w:contextualSpacing/>
        <w:jc w:val="both"/>
        <w:rPr>
          <w:rFonts w:asciiTheme="majorHAnsi" w:hAnsiTheme="majorHAnsi"/>
          <w:sz w:val="24"/>
          <w:szCs w:val="24"/>
        </w:rPr>
      </w:pPr>
      <w:r w:rsidRPr="006A68A4">
        <w:rPr>
          <w:rFonts w:asciiTheme="majorHAnsi" w:hAnsiTheme="majorHAnsi"/>
          <w:sz w:val="24"/>
          <w:szCs w:val="24"/>
        </w:rPr>
        <w:t xml:space="preserve">In most urban areas, public health programs operate vertically </w:t>
      </w:r>
      <w:sdt>
        <w:sdtPr>
          <w:rPr>
            <w:rFonts w:asciiTheme="majorHAnsi" w:hAnsiTheme="majorHAnsi"/>
            <w:sz w:val="24"/>
            <w:szCs w:val="24"/>
          </w:rPr>
          <w:id w:val="3780548"/>
          <w:citation/>
        </w:sdtPr>
        <w:sdtContent>
          <w:r w:rsidR="00D20074" w:rsidRPr="006A68A4">
            <w:rPr>
              <w:rFonts w:asciiTheme="majorHAnsi" w:hAnsiTheme="majorHAnsi"/>
              <w:sz w:val="24"/>
              <w:szCs w:val="24"/>
            </w:rPr>
            <w:fldChar w:fldCharType="begin"/>
          </w:r>
          <w:r w:rsidRPr="006A68A4">
            <w:rPr>
              <w:rFonts w:asciiTheme="majorHAnsi" w:hAnsiTheme="majorHAnsi"/>
              <w:sz w:val="24"/>
              <w:szCs w:val="24"/>
            </w:rPr>
            <w:instrText xml:space="preserve"> CITATION PHR10 \l 1033 </w:instrText>
          </w:r>
          <w:r w:rsidR="00D20074" w:rsidRPr="006A68A4">
            <w:rPr>
              <w:rFonts w:asciiTheme="majorHAnsi" w:hAnsiTheme="majorHAnsi"/>
              <w:sz w:val="24"/>
              <w:szCs w:val="24"/>
            </w:rPr>
            <w:fldChar w:fldCharType="separate"/>
          </w:r>
          <w:r w:rsidRPr="006A68A4">
            <w:rPr>
              <w:rFonts w:asciiTheme="majorHAnsi" w:hAnsiTheme="majorHAnsi"/>
              <w:noProof/>
              <w:sz w:val="24"/>
              <w:szCs w:val="24"/>
            </w:rPr>
            <w:t>(PHRN, 2010)</w:t>
          </w:r>
          <w:r w:rsidR="00D20074" w:rsidRPr="006A68A4">
            <w:rPr>
              <w:rFonts w:asciiTheme="majorHAnsi" w:hAnsiTheme="majorHAnsi"/>
              <w:sz w:val="24"/>
              <w:szCs w:val="24"/>
            </w:rPr>
            <w:fldChar w:fldCharType="end"/>
          </w:r>
        </w:sdtContent>
      </w:sdt>
      <w:r w:rsidRPr="006A68A4">
        <w:rPr>
          <w:rFonts w:asciiTheme="majorHAnsi" w:hAnsiTheme="majorHAnsi"/>
          <w:sz w:val="24"/>
          <w:szCs w:val="24"/>
        </w:rPr>
        <w:t>. They have their own mechanisms for implementation, and are integrated under the state/district health missions.  Barring bigger Municipal Corporations, they are largely under the state health departments. Implementation of all vertical National health programs needs to be integrated under a single mission in order to optimize utilization of resources and improve service delivery.</w:t>
      </w:r>
    </w:p>
    <w:p w:rsidR="00B866A8" w:rsidRPr="006A68A4" w:rsidRDefault="00B866A8" w:rsidP="006A68A4">
      <w:pPr>
        <w:spacing w:after="100" w:afterAutospacing="1" w:line="264" w:lineRule="auto"/>
        <w:ind w:right="-46"/>
        <w:contextualSpacing/>
        <w:jc w:val="both"/>
        <w:rPr>
          <w:rFonts w:asciiTheme="majorHAnsi" w:hAnsiTheme="majorHAnsi"/>
          <w:sz w:val="24"/>
          <w:szCs w:val="24"/>
        </w:rPr>
      </w:pPr>
    </w:p>
    <w:p w:rsidR="006A68A4" w:rsidRPr="006A68A4" w:rsidRDefault="006A68A4" w:rsidP="006A68A4">
      <w:pPr>
        <w:spacing w:after="100" w:afterAutospacing="1" w:line="264" w:lineRule="auto"/>
        <w:ind w:right="-46"/>
        <w:contextualSpacing/>
        <w:jc w:val="both"/>
        <w:rPr>
          <w:rFonts w:asciiTheme="majorHAnsi" w:hAnsiTheme="majorHAnsi"/>
          <w:sz w:val="24"/>
          <w:szCs w:val="24"/>
        </w:rPr>
      </w:pPr>
      <w:r w:rsidRPr="006A68A4">
        <w:rPr>
          <w:rFonts w:asciiTheme="majorHAnsi" w:hAnsiTheme="majorHAnsi"/>
          <w:sz w:val="24"/>
          <w:szCs w:val="24"/>
        </w:rPr>
        <w:t xml:space="preserve">Some programs run special initiatives for urban areas. RNTCP runs an ‘intensified PPM-DOTS initiative’ in 14 major urban districts of the country, which has shown a gradual increase in case detection. The state government health sector and the medical colleges are important contributors. NGO sector is an important source of care in TB. Different types of Urban Family Welfare Centres and Urban Health Posts provide RCH services in urban areas. The Urban Malaria Scheme is running in 131 towns and cities. The National AIDS Control Program includes all urban areas </w:t>
      </w:r>
      <w:sdt>
        <w:sdtPr>
          <w:rPr>
            <w:rFonts w:asciiTheme="majorHAnsi" w:hAnsiTheme="majorHAnsi"/>
            <w:sz w:val="24"/>
            <w:szCs w:val="24"/>
          </w:rPr>
          <w:id w:val="1557801"/>
          <w:citation/>
        </w:sdtPr>
        <w:sdtContent>
          <w:r w:rsidR="00D20074" w:rsidRPr="006A68A4">
            <w:rPr>
              <w:rFonts w:asciiTheme="majorHAnsi" w:hAnsiTheme="majorHAnsi"/>
              <w:sz w:val="24"/>
              <w:szCs w:val="24"/>
            </w:rPr>
            <w:fldChar w:fldCharType="begin"/>
          </w:r>
          <w:r w:rsidRPr="006A68A4">
            <w:rPr>
              <w:rFonts w:asciiTheme="majorHAnsi" w:hAnsiTheme="majorHAnsi"/>
              <w:sz w:val="24"/>
              <w:szCs w:val="24"/>
            </w:rPr>
            <w:instrText xml:space="preserve"> CITATION PHR10 \l 1033 </w:instrText>
          </w:r>
          <w:r w:rsidR="00D20074" w:rsidRPr="006A68A4">
            <w:rPr>
              <w:rFonts w:asciiTheme="majorHAnsi" w:hAnsiTheme="majorHAnsi"/>
              <w:sz w:val="24"/>
              <w:szCs w:val="24"/>
            </w:rPr>
            <w:fldChar w:fldCharType="separate"/>
          </w:r>
          <w:r w:rsidRPr="006A68A4">
            <w:rPr>
              <w:rFonts w:asciiTheme="majorHAnsi" w:hAnsiTheme="majorHAnsi"/>
              <w:noProof/>
              <w:sz w:val="24"/>
              <w:szCs w:val="24"/>
            </w:rPr>
            <w:t>(PHRN, 2010)</w:t>
          </w:r>
          <w:r w:rsidR="00D20074" w:rsidRPr="006A68A4">
            <w:rPr>
              <w:rFonts w:asciiTheme="majorHAnsi" w:hAnsiTheme="majorHAnsi"/>
              <w:sz w:val="24"/>
              <w:szCs w:val="24"/>
            </w:rPr>
            <w:fldChar w:fldCharType="end"/>
          </w:r>
        </w:sdtContent>
      </w:sdt>
      <w:r w:rsidRPr="006A68A4">
        <w:rPr>
          <w:rFonts w:asciiTheme="majorHAnsi" w:hAnsiTheme="majorHAnsi"/>
          <w:sz w:val="24"/>
          <w:szCs w:val="24"/>
        </w:rPr>
        <w:t xml:space="preserve">. </w:t>
      </w:r>
    </w:p>
    <w:p w:rsidR="006A68A4" w:rsidRPr="006A68A4" w:rsidRDefault="006A68A4" w:rsidP="006A68A4">
      <w:pPr>
        <w:spacing w:line="264" w:lineRule="auto"/>
        <w:contextualSpacing/>
        <w:jc w:val="both"/>
        <w:rPr>
          <w:rFonts w:asciiTheme="majorHAnsi" w:hAnsiTheme="majorHAnsi"/>
          <w:sz w:val="24"/>
          <w:szCs w:val="24"/>
        </w:rPr>
      </w:pPr>
    </w:p>
    <w:p w:rsidR="006A68A4" w:rsidRDefault="00B866A8" w:rsidP="006A68A4">
      <w:pPr>
        <w:spacing w:line="264" w:lineRule="auto"/>
        <w:contextualSpacing/>
        <w:jc w:val="both"/>
        <w:rPr>
          <w:rFonts w:asciiTheme="majorHAnsi" w:hAnsiTheme="majorHAnsi"/>
          <w:b/>
          <w:bCs/>
          <w:sz w:val="24"/>
          <w:szCs w:val="24"/>
        </w:rPr>
      </w:pPr>
      <w:r>
        <w:rPr>
          <w:rFonts w:asciiTheme="majorHAnsi" w:hAnsiTheme="majorHAnsi"/>
          <w:b/>
          <w:bCs/>
          <w:sz w:val="24"/>
          <w:szCs w:val="24"/>
        </w:rPr>
        <w:t xml:space="preserve">TOR Question 7: </w:t>
      </w:r>
      <w:r w:rsidR="006A68A4" w:rsidRPr="006A68A4">
        <w:rPr>
          <w:rFonts w:asciiTheme="majorHAnsi" w:hAnsiTheme="majorHAnsi"/>
          <w:b/>
          <w:bCs/>
          <w:sz w:val="24"/>
          <w:szCs w:val="24"/>
        </w:rPr>
        <w:t> What should be the linkage of UHM primary health institutions with, and role in UHM of, Community Health Departments of medical colleges, public and private, located in these cities, and of public secondary and tertiary care hospitals? What should be the systems of referral to these various levels?</w:t>
      </w:r>
    </w:p>
    <w:p w:rsidR="00B866A8" w:rsidRPr="006A68A4" w:rsidRDefault="00B866A8" w:rsidP="006A68A4">
      <w:pPr>
        <w:spacing w:line="264" w:lineRule="auto"/>
        <w:contextualSpacing/>
        <w:jc w:val="both"/>
        <w:rPr>
          <w:rFonts w:asciiTheme="majorHAnsi" w:hAnsiTheme="majorHAnsi"/>
          <w:b/>
          <w:bCs/>
          <w:sz w:val="24"/>
          <w:szCs w:val="24"/>
        </w:rPr>
      </w:pPr>
    </w:p>
    <w:p w:rsidR="006A68A4" w:rsidRPr="006A68A4" w:rsidRDefault="006A68A4" w:rsidP="006A68A4">
      <w:pPr>
        <w:spacing w:after="100" w:afterAutospacing="1" w:line="264" w:lineRule="auto"/>
        <w:ind w:right="-46"/>
        <w:contextualSpacing/>
        <w:jc w:val="both"/>
        <w:rPr>
          <w:rFonts w:asciiTheme="majorHAnsi" w:hAnsiTheme="majorHAnsi"/>
          <w:sz w:val="24"/>
          <w:szCs w:val="24"/>
        </w:rPr>
      </w:pPr>
      <w:r w:rsidRPr="006A68A4">
        <w:rPr>
          <w:rFonts w:asciiTheme="majorHAnsi" w:hAnsiTheme="majorHAnsi"/>
          <w:sz w:val="24"/>
          <w:szCs w:val="24"/>
        </w:rPr>
        <w:t xml:space="preserve">Community health departments of Medical Colleges need to involve themselves with primary healthcare services in their respective regions. Since they have the capacity to build </w:t>
      </w:r>
      <w:r w:rsidR="00B60A4B" w:rsidRPr="006A68A4">
        <w:rPr>
          <w:rFonts w:asciiTheme="majorHAnsi" w:hAnsiTheme="majorHAnsi"/>
          <w:sz w:val="24"/>
          <w:szCs w:val="24"/>
        </w:rPr>
        <w:t>comprehensive primary</w:t>
      </w:r>
      <w:r w:rsidRPr="006A68A4">
        <w:rPr>
          <w:rFonts w:asciiTheme="majorHAnsi" w:hAnsiTheme="majorHAnsi"/>
          <w:sz w:val="24"/>
          <w:szCs w:val="24"/>
        </w:rPr>
        <w:t xml:space="preserve"> health care services, they need to be involved in the process.</w:t>
      </w:r>
    </w:p>
    <w:p w:rsidR="006A68A4" w:rsidRPr="006A68A4" w:rsidRDefault="006A68A4" w:rsidP="006A68A4">
      <w:pPr>
        <w:spacing w:after="100" w:afterAutospacing="1" w:line="264" w:lineRule="auto"/>
        <w:ind w:right="-46"/>
        <w:contextualSpacing/>
        <w:jc w:val="both"/>
        <w:rPr>
          <w:rFonts w:asciiTheme="majorHAnsi" w:hAnsiTheme="majorHAnsi"/>
          <w:sz w:val="24"/>
          <w:szCs w:val="24"/>
        </w:rPr>
      </w:pPr>
      <w:r w:rsidRPr="006A68A4">
        <w:rPr>
          <w:rFonts w:asciiTheme="majorHAnsi" w:hAnsiTheme="majorHAnsi"/>
          <w:sz w:val="24"/>
          <w:szCs w:val="24"/>
        </w:rPr>
        <w:t xml:space="preserve"> Secondary level institutions need to assume greater responsibility so as to lessen the burden of tertiary level institutions. They need to be revitalized with manpower and equipment to meet this goal </w:t>
      </w:r>
      <w:sdt>
        <w:sdtPr>
          <w:rPr>
            <w:rFonts w:asciiTheme="majorHAnsi" w:hAnsiTheme="majorHAnsi"/>
            <w:sz w:val="24"/>
            <w:szCs w:val="24"/>
          </w:rPr>
          <w:id w:val="12327885"/>
          <w:citation/>
        </w:sdtPr>
        <w:sdtContent>
          <w:r w:rsidR="00D20074" w:rsidRPr="006A68A4">
            <w:rPr>
              <w:rFonts w:asciiTheme="majorHAnsi" w:hAnsiTheme="majorHAnsi"/>
              <w:sz w:val="24"/>
              <w:szCs w:val="24"/>
            </w:rPr>
            <w:fldChar w:fldCharType="begin"/>
          </w:r>
          <w:r w:rsidRPr="006A68A4">
            <w:rPr>
              <w:rFonts w:asciiTheme="majorHAnsi" w:hAnsiTheme="majorHAnsi"/>
              <w:sz w:val="24"/>
              <w:szCs w:val="24"/>
            </w:rPr>
            <w:instrText xml:space="preserve"> CITATION NHR \l 1033 </w:instrText>
          </w:r>
          <w:r w:rsidR="00D20074" w:rsidRPr="006A68A4">
            <w:rPr>
              <w:rFonts w:asciiTheme="majorHAnsi" w:hAnsiTheme="majorHAnsi"/>
              <w:sz w:val="24"/>
              <w:szCs w:val="24"/>
            </w:rPr>
            <w:fldChar w:fldCharType="separate"/>
          </w:r>
          <w:r w:rsidRPr="006A68A4">
            <w:rPr>
              <w:rFonts w:asciiTheme="majorHAnsi" w:hAnsiTheme="majorHAnsi"/>
              <w:noProof/>
              <w:sz w:val="24"/>
              <w:szCs w:val="24"/>
            </w:rPr>
            <w:t>(NHRC)</w:t>
          </w:r>
          <w:r w:rsidR="00D20074" w:rsidRPr="006A68A4">
            <w:rPr>
              <w:rFonts w:asciiTheme="majorHAnsi" w:hAnsiTheme="majorHAnsi"/>
              <w:sz w:val="24"/>
              <w:szCs w:val="24"/>
            </w:rPr>
            <w:fldChar w:fldCharType="end"/>
          </w:r>
        </w:sdtContent>
      </w:sdt>
      <w:r w:rsidRPr="006A68A4">
        <w:rPr>
          <w:rFonts w:asciiTheme="majorHAnsi" w:hAnsiTheme="majorHAnsi"/>
          <w:sz w:val="24"/>
          <w:szCs w:val="24"/>
        </w:rPr>
        <w:t>, along with simultaneous strengthening of the referral chain.</w:t>
      </w:r>
    </w:p>
    <w:p w:rsidR="006A68A4" w:rsidRPr="006A68A4" w:rsidRDefault="006A68A4" w:rsidP="006A68A4">
      <w:pPr>
        <w:spacing w:line="264" w:lineRule="auto"/>
        <w:contextualSpacing/>
        <w:jc w:val="both"/>
        <w:rPr>
          <w:rFonts w:asciiTheme="majorHAnsi" w:hAnsiTheme="majorHAnsi"/>
          <w:sz w:val="24"/>
          <w:szCs w:val="24"/>
        </w:rPr>
      </w:pPr>
    </w:p>
    <w:p w:rsidR="006A68A4" w:rsidRDefault="00B866A8" w:rsidP="006A68A4">
      <w:pPr>
        <w:spacing w:line="264" w:lineRule="auto"/>
        <w:contextualSpacing/>
        <w:jc w:val="both"/>
        <w:rPr>
          <w:rFonts w:asciiTheme="majorHAnsi" w:hAnsiTheme="majorHAnsi"/>
          <w:b/>
          <w:bCs/>
          <w:sz w:val="24"/>
          <w:szCs w:val="24"/>
        </w:rPr>
      </w:pPr>
      <w:r>
        <w:rPr>
          <w:rFonts w:asciiTheme="majorHAnsi" w:hAnsiTheme="majorHAnsi"/>
          <w:b/>
          <w:bCs/>
          <w:sz w:val="24"/>
          <w:szCs w:val="24"/>
        </w:rPr>
        <w:t xml:space="preserve">TOR Question 8: </w:t>
      </w:r>
      <w:r w:rsidR="006A68A4" w:rsidRPr="006A68A4">
        <w:rPr>
          <w:rFonts w:asciiTheme="majorHAnsi" w:hAnsiTheme="majorHAnsi"/>
          <w:b/>
          <w:bCs/>
          <w:sz w:val="24"/>
          <w:szCs w:val="24"/>
        </w:rPr>
        <w:t>What are the current official departments and agencies to deliver health services at various levels (such as municipal, state and central governments, state health and medical education departments, National Health Mission, and so on)? Do they work with adequate coordination, or does this need greater integration?</w:t>
      </w:r>
    </w:p>
    <w:p w:rsidR="00B866A8" w:rsidRPr="006A68A4" w:rsidRDefault="00B866A8" w:rsidP="006A68A4">
      <w:pPr>
        <w:spacing w:line="264" w:lineRule="auto"/>
        <w:contextualSpacing/>
        <w:jc w:val="both"/>
        <w:rPr>
          <w:rFonts w:asciiTheme="majorHAnsi" w:hAnsiTheme="majorHAnsi"/>
          <w:b/>
          <w:bCs/>
          <w:sz w:val="24"/>
          <w:szCs w:val="24"/>
        </w:rPr>
      </w:pPr>
    </w:p>
    <w:p w:rsidR="006A68A4" w:rsidRDefault="006A68A4" w:rsidP="006A68A4">
      <w:pPr>
        <w:spacing w:after="100" w:afterAutospacing="1" w:line="264" w:lineRule="auto"/>
        <w:ind w:right="-45"/>
        <w:contextualSpacing/>
        <w:jc w:val="both"/>
        <w:rPr>
          <w:rFonts w:asciiTheme="majorHAnsi" w:hAnsiTheme="majorHAnsi"/>
          <w:sz w:val="24"/>
          <w:szCs w:val="24"/>
        </w:rPr>
      </w:pPr>
      <w:r w:rsidRPr="006A68A4">
        <w:rPr>
          <w:rFonts w:asciiTheme="majorHAnsi" w:hAnsiTheme="majorHAnsi"/>
          <w:sz w:val="24"/>
          <w:szCs w:val="24"/>
        </w:rPr>
        <w:lastRenderedPageBreak/>
        <w:t>The different departments involved in delivering healthcare and related services to the urban areas are the Municipal, State and Central Governments. The different departments and institutions fall under one of these three heads. The 74</w:t>
      </w:r>
      <w:r w:rsidRPr="006A68A4">
        <w:rPr>
          <w:rFonts w:asciiTheme="majorHAnsi" w:hAnsiTheme="majorHAnsi"/>
          <w:sz w:val="24"/>
          <w:szCs w:val="24"/>
          <w:vertAlign w:val="superscript"/>
        </w:rPr>
        <w:t>th</w:t>
      </w:r>
      <w:r w:rsidRPr="006A68A4">
        <w:rPr>
          <w:rFonts w:asciiTheme="majorHAnsi" w:hAnsiTheme="majorHAnsi"/>
          <w:sz w:val="24"/>
          <w:szCs w:val="24"/>
        </w:rPr>
        <w:t xml:space="preserve"> Constitutional Amendment Act, 1993 sought to divulge power to the ULBs </w:t>
      </w:r>
      <w:sdt>
        <w:sdtPr>
          <w:rPr>
            <w:rFonts w:asciiTheme="majorHAnsi" w:hAnsiTheme="majorHAnsi"/>
            <w:sz w:val="24"/>
            <w:szCs w:val="24"/>
          </w:rPr>
          <w:id w:val="3780549"/>
          <w:citation/>
        </w:sdtPr>
        <w:sdtContent>
          <w:r w:rsidR="00D20074" w:rsidRPr="006A68A4">
            <w:rPr>
              <w:rFonts w:asciiTheme="majorHAnsi" w:hAnsiTheme="majorHAnsi"/>
              <w:sz w:val="24"/>
              <w:szCs w:val="24"/>
            </w:rPr>
            <w:fldChar w:fldCharType="begin"/>
          </w:r>
          <w:r w:rsidRPr="006A68A4">
            <w:rPr>
              <w:rFonts w:asciiTheme="majorHAnsi" w:hAnsiTheme="majorHAnsi"/>
              <w:sz w:val="24"/>
              <w:szCs w:val="24"/>
            </w:rPr>
            <w:instrText xml:space="preserve"> CITATION Vai09 \l 1033 </w:instrText>
          </w:r>
          <w:r w:rsidR="00D20074" w:rsidRPr="006A68A4">
            <w:rPr>
              <w:rFonts w:asciiTheme="majorHAnsi" w:hAnsiTheme="majorHAnsi"/>
              <w:sz w:val="24"/>
              <w:szCs w:val="24"/>
            </w:rPr>
            <w:fldChar w:fldCharType="separate"/>
          </w:r>
          <w:r w:rsidRPr="006A68A4">
            <w:rPr>
              <w:rFonts w:asciiTheme="majorHAnsi" w:hAnsiTheme="majorHAnsi"/>
              <w:noProof/>
              <w:sz w:val="24"/>
              <w:szCs w:val="24"/>
            </w:rPr>
            <w:t>(Vaidya, 2009)</w:t>
          </w:r>
          <w:r w:rsidR="00D20074" w:rsidRPr="006A68A4">
            <w:rPr>
              <w:rFonts w:asciiTheme="majorHAnsi" w:hAnsiTheme="majorHAnsi"/>
              <w:sz w:val="24"/>
              <w:szCs w:val="24"/>
            </w:rPr>
            <w:fldChar w:fldCharType="end"/>
          </w:r>
        </w:sdtContent>
      </w:sdt>
      <w:r w:rsidRPr="006A68A4">
        <w:rPr>
          <w:rFonts w:asciiTheme="majorHAnsi" w:hAnsiTheme="majorHAnsi"/>
          <w:sz w:val="24"/>
          <w:szCs w:val="24"/>
        </w:rPr>
        <w:t xml:space="preserve">. The Act expects the ULBs to take over responsibility of planning, water supply, public health etc. However, barring a few Municipal Corporations, twenty years later, the ULBs still lack that capacity. Health services and public health engineering departments still operate in a fragmented manner. Today’s scenario calls for integrated planning and development </w:t>
      </w:r>
      <w:sdt>
        <w:sdtPr>
          <w:rPr>
            <w:rFonts w:asciiTheme="majorHAnsi" w:hAnsiTheme="majorHAnsi"/>
            <w:sz w:val="24"/>
            <w:szCs w:val="24"/>
          </w:rPr>
          <w:id w:val="6518573"/>
          <w:citation/>
        </w:sdtPr>
        <w:sdtContent>
          <w:r w:rsidR="00D20074" w:rsidRPr="006A68A4">
            <w:rPr>
              <w:rFonts w:asciiTheme="majorHAnsi" w:hAnsiTheme="majorHAnsi"/>
              <w:sz w:val="24"/>
              <w:szCs w:val="24"/>
            </w:rPr>
            <w:fldChar w:fldCharType="begin"/>
          </w:r>
          <w:r w:rsidRPr="006A68A4">
            <w:rPr>
              <w:rFonts w:asciiTheme="majorHAnsi" w:hAnsiTheme="majorHAnsi"/>
              <w:sz w:val="24"/>
              <w:szCs w:val="24"/>
            </w:rPr>
            <w:instrText xml:space="preserve"> CITATION Cha101 \l 1033 </w:instrText>
          </w:r>
          <w:r w:rsidR="00D20074" w:rsidRPr="006A68A4">
            <w:rPr>
              <w:rFonts w:asciiTheme="majorHAnsi" w:hAnsiTheme="majorHAnsi"/>
              <w:sz w:val="24"/>
              <w:szCs w:val="24"/>
            </w:rPr>
            <w:fldChar w:fldCharType="separate"/>
          </w:r>
          <w:r w:rsidRPr="006A68A4">
            <w:rPr>
              <w:rFonts w:asciiTheme="majorHAnsi" w:hAnsiTheme="majorHAnsi"/>
              <w:noProof/>
              <w:sz w:val="24"/>
              <w:szCs w:val="24"/>
            </w:rPr>
            <w:t>(Chatterjee, Urban Health:Policy and Polity, 2010)</w:t>
          </w:r>
          <w:r w:rsidR="00D20074" w:rsidRPr="006A68A4">
            <w:rPr>
              <w:rFonts w:asciiTheme="majorHAnsi" w:hAnsiTheme="majorHAnsi"/>
              <w:sz w:val="24"/>
              <w:szCs w:val="24"/>
            </w:rPr>
            <w:fldChar w:fldCharType="end"/>
          </w:r>
        </w:sdtContent>
      </w:sdt>
      <w:r w:rsidRPr="006A68A4">
        <w:rPr>
          <w:rFonts w:asciiTheme="majorHAnsi" w:hAnsiTheme="majorHAnsi"/>
          <w:sz w:val="24"/>
          <w:szCs w:val="24"/>
        </w:rPr>
        <w:t>.</w:t>
      </w:r>
    </w:p>
    <w:p w:rsidR="00B866A8" w:rsidRPr="006A68A4" w:rsidRDefault="00B866A8" w:rsidP="006A68A4">
      <w:pPr>
        <w:spacing w:after="100" w:afterAutospacing="1" w:line="264" w:lineRule="auto"/>
        <w:ind w:right="-45"/>
        <w:contextualSpacing/>
        <w:jc w:val="both"/>
        <w:rPr>
          <w:rFonts w:asciiTheme="majorHAnsi" w:hAnsiTheme="majorHAnsi"/>
          <w:sz w:val="24"/>
          <w:szCs w:val="24"/>
        </w:rPr>
      </w:pPr>
    </w:p>
    <w:p w:rsidR="006A68A4" w:rsidRP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 xml:space="preserve">The experience of Urban Health Resource Centre, Indore, shows the benefits of a Ward Coordination approach, wherein stakeholders participated in decision making in order to improve health outcomes. This approach also made the service providers more accountable to the beneficiaries. The experiment makes a case for participatory governance at local level in urban areas </w:t>
      </w:r>
      <w:sdt>
        <w:sdtPr>
          <w:rPr>
            <w:rFonts w:asciiTheme="majorHAnsi" w:hAnsiTheme="majorHAnsi"/>
            <w:sz w:val="24"/>
            <w:szCs w:val="24"/>
          </w:rPr>
          <w:id w:val="3780679"/>
          <w:citation/>
        </w:sdtPr>
        <w:sdtContent>
          <w:r w:rsidR="00D20074" w:rsidRPr="006A68A4">
            <w:rPr>
              <w:rFonts w:asciiTheme="majorHAnsi" w:hAnsiTheme="majorHAnsi"/>
              <w:sz w:val="24"/>
              <w:szCs w:val="24"/>
            </w:rPr>
            <w:fldChar w:fldCharType="begin"/>
          </w:r>
          <w:r w:rsidRPr="006A68A4">
            <w:rPr>
              <w:rFonts w:asciiTheme="majorHAnsi" w:hAnsiTheme="majorHAnsi"/>
              <w:sz w:val="24"/>
              <w:szCs w:val="24"/>
            </w:rPr>
            <w:instrText xml:space="preserve"> CITATION Rah10 \l 1033 </w:instrText>
          </w:r>
          <w:r w:rsidR="00D20074" w:rsidRPr="006A68A4">
            <w:rPr>
              <w:rFonts w:asciiTheme="majorHAnsi" w:hAnsiTheme="majorHAnsi"/>
              <w:sz w:val="24"/>
              <w:szCs w:val="24"/>
            </w:rPr>
            <w:fldChar w:fldCharType="separate"/>
          </w:r>
          <w:r w:rsidRPr="006A68A4">
            <w:rPr>
              <w:rFonts w:asciiTheme="majorHAnsi" w:hAnsiTheme="majorHAnsi"/>
              <w:noProof/>
              <w:sz w:val="24"/>
              <w:szCs w:val="24"/>
            </w:rPr>
            <w:t>(Raha, 2010)</w:t>
          </w:r>
          <w:r w:rsidR="00D20074" w:rsidRPr="006A68A4">
            <w:rPr>
              <w:rFonts w:asciiTheme="majorHAnsi" w:hAnsiTheme="majorHAnsi"/>
              <w:sz w:val="24"/>
              <w:szCs w:val="24"/>
            </w:rPr>
            <w:fldChar w:fldCharType="end"/>
          </w:r>
        </w:sdtContent>
      </w:sdt>
      <w:r w:rsidRPr="006A68A4">
        <w:rPr>
          <w:rFonts w:asciiTheme="majorHAnsi" w:hAnsiTheme="majorHAnsi"/>
          <w:sz w:val="24"/>
          <w:szCs w:val="24"/>
        </w:rPr>
        <w:t xml:space="preserve">.   </w:t>
      </w:r>
    </w:p>
    <w:p w:rsidR="006A68A4" w:rsidRPr="006A68A4" w:rsidRDefault="006A68A4" w:rsidP="006A68A4">
      <w:pPr>
        <w:spacing w:after="100" w:afterAutospacing="1" w:line="264" w:lineRule="auto"/>
        <w:ind w:right="-45"/>
        <w:contextualSpacing/>
        <w:jc w:val="both"/>
        <w:rPr>
          <w:rFonts w:asciiTheme="majorHAnsi" w:hAnsiTheme="majorHAnsi"/>
          <w:sz w:val="24"/>
          <w:szCs w:val="24"/>
        </w:rPr>
      </w:pPr>
    </w:p>
    <w:p w:rsidR="006A68A4" w:rsidRDefault="006A68A4" w:rsidP="006A68A4">
      <w:pPr>
        <w:spacing w:after="100" w:afterAutospacing="1" w:line="264" w:lineRule="auto"/>
        <w:ind w:right="-45"/>
        <w:contextualSpacing/>
        <w:jc w:val="both"/>
        <w:rPr>
          <w:rFonts w:asciiTheme="majorHAnsi" w:hAnsiTheme="majorHAnsi"/>
          <w:sz w:val="24"/>
          <w:szCs w:val="24"/>
        </w:rPr>
      </w:pPr>
      <w:r w:rsidRPr="006A68A4">
        <w:rPr>
          <w:rFonts w:asciiTheme="majorHAnsi" w:hAnsiTheme="majorHAnsi"/>
          <w:sz w:val="24"/>
          <w:szCs w:val="24"/>
        </w:rPr>
        <w:t xml:space="preserve">Monica Das Gupta argues for the Tamil Nadu model of public health service delivery </w:t>
      </w:r>
      <w:sdt>
        <w:sdtPr>
          <w:rPr>
            <w:rFonts w:asciiTheme="majorHAnsi" w:hAnsiTheme="majorHAnsi"/>
            <w:sz w:val="24"/>
            <w:szCs w:val="24"/>
          </w:rPr>
          <w:id w:val="6518494"/>
          <w:citation/>
        </w:sdtPr>
        <w:sdtContent>
          <w:r w:rsidR="00D20074" w:rsidRPr="006A68A4">
            <w:rPr>
              <w:rFonts w:asciiTheme="majorHAnsi" w:hAnsiTheme="majorHAnsi"/>
              <w:sz w:val="24"/>
              <w:szCs w:val="24"/>
            </w:rPr>
            <w:fldChar w:fldCharType="begin"/>
          </w:r>
          <w:r w:rsidRPr="006A68A4">
            <w:rPr>
              <w:rFonts w:asciiTheme="majorHAnsi" w:hAnsiTheme="majorHAnsi"/>
              <w:sz w:val="24"/>
              <w:szCs w:val="24"/>
            </w:rPr>
            <w:instrText xml:space="preserve"> CITATION Das10 \l 1033  </w:instrText>
          </w:r>
          <w:r w:rsidR="00D20074" w:rsidRPr="006A68A4">
            <w:rPr>
              <w:rFonts w:asciiTheme="majorHAnsi" w:hAnsiTheme="majorHAnsi"/>
              <w:sz w:val="24"/>
              <w:szCs w:val="24"/>
            </w:rPr>
            <w:fldChar w:fldCharType="separate"/>
          </w:r>
          <w:r w:rsidRPr="006A68A4">
            <w:rPr>
              <w:rFonts w:asciiTheme="majorHAnsi" w:hAnsiTheme="majorHAnsi"/>
              <w:noProof/>
              <w:sz w:val="24"/>
              <w:szCs w:val="24"/>
            </w:rPr>
            <w:t>(Das Gupta, Strengthening Public Health in Urban India:The Role of The National Urban Health Mission, 2010)</w:t>
          </w:r>
          <w:r w:rsidR="00D20074" w:rsidRPr="006A68A4">
            <w:rPr>
              <w:rFonts w:asciiTheme="majorHAnsi" w:hAnsiTheme="majorHAnsi"/>
              <w:sz w:val="24"/>
              <w:szCs w:val="24"/>
            </w:rPr>
            <w:fldChar w:fldCharType="end"/>
          </w:r>
        </w:sdtContent>
      </w:sdt>
      <w:r w:rsidR="00B866A8">
        <w:rPr>
          <w:rFonts w:asciiTheme="majorHAnsi" w:hAnsiTheme="majorHAnsi"/>
          <w:sz w:val="24"/>
          <w:szCs w:val="24"/>
        </w:rPr>
        <w:t xml:space="preserve">, wherein the state has: </w:t>
      </w:r>
    </w:p>
    <w:p w:rsidR="00B866A8" w:rsidRPr="006A68A4" w:rsidRDefault="00B866A8" w:rsidP="006A68A4">
      <w:pPr>
        <w:spacing w:after="100" w:afterAutospacing="1" w:line="264" w:lineRule="auto"/>
        <w:ind w:right="-45"/>
        <w:contextualSpacing/>
        <w:jc w:val="both"/>
        <w:rPr>
          <w:rFonts w:asciiTheme="majorHAnsi" w:hAnsiTheme="majorHAnsi"/>
          <w:sz w:val="24"/>
          <w:szCs w:val="24"/>
        </w:rPr>
      </w:pPr>
    </w:p>
    <w:p w:rsidR="006A68A4" w:rsidRPr="006A68A4" w:rsidRDefault="006A68A4" w:rsidP="006A68A4">
      <w:pPr>
        <w:numPr>
          <w:ilvl w:val="0"/>
          <w:numId w:val="7"/>
        </w:numPr>
        <w:spacing w:after="100" w:afterAutospacing="1" w:line="264" w:lineRule="auto"/>
        <w:ind w:right="-45"/>
        <w:contextualSpacing/>
        <w:jc w:val="both"/>
        <w:rPr>
          <w:rFonts w:asciiTheme="majorHAnsi" w:hAnsiTheme="majorHAnsi"/>
          <w:sz w:val="24"/>
          <w:szCs w:val="24"/>
        </w:rPr>
      </w:pPr>
      <w:r w:rsidRPr="006A68A4">
        <w:rPr>
          <w:rFonts w:asciiTheme="majorHAnsi" w:hAnsiTheme="majorHAnsi"/>
          <w:sz w:val="24"/>
          <w:szCs w:val="24"/>
        </w:rPr>
        <w:t>An exclusive Directorate of Public Health for policy and planning</w:t>
      </w:r>
    </w:p>
    <w:p w:rsidR="006A68A4" w:rsidRPr="006A68A4" w:rsidRDefault="006A68A4" w:rsidP="006A68A4">
      <w:pPr>
        <w:numPr>
          <w:ilvl w:val="0"/>
          <w:numId w:val="7"/>
        </w:numPr>
        <w:spacing w:after="100" w:afterAutospacing="1" w:line="264" w:lineRule="auto"/>
        <w:ind w:right="-45"/>
        <w:contextualSpacing/>
        <w:jc w:val="both"/>
        <w:rPr>
          <w:rFonts w:asciiTheme="majorHAnsi" w:hAnsiTheme="majorHAnsi"/>
          <w:sz w:val="24"/>
          <w:szCs w:val="24"/>
        </w:rPr>
      </w:pPr>
      <w:r w:rsidRPr="006A68A4">
        <w:rPr>
          <w:rFonts w:asciiTheme="majorHAnsi" w:hAnsiTheme="majorHAnsi"/>
          <w:sz w:val="24"/>
          <w:szCs w:val="24"/>
        </w:rPr>
        <w:t>Dedicated funding – the Directorate’s budget provides for adequate staffing and service delivery e.g. it has 120 Entomologists on its roll, it has labor to clear vector breeding places and refuse</w:t>
      </w:r>
    </w:p>
    <w:p w:rsidR="006A68A4" w:rsidRPr="006A68A4" w:rsidRDefault="006A68A4" w:rsidP="006A68A4">
      <w:pPr>
        <w:numPr>
          <w:ilvl w:val="0"/>
          <w:numId w:val="7"/>
        </w:numPr>
        <w:spacing w:after="100" w:afterAutospacing="1" w:line="264" w:lineRule="auto"/>
        <w:ind w:right="-45"/>
        <w:contextualSpacing/>
        <w:jc w:val="both"/>
        <w:rPr>
          <w:rFonts w:asciiTheme="majorHAnsi" w:hAnsiTheme="majorHAnsi"/>
          <w:sz w:val="24"/>
          <w:szCs w:val="24"/>
        </w:rPr>
      </w:pPr>
      <w:r w:rsidRPr="006A68A4">
        <w:rPr>
          <w:rFonts w:asciiTheme="majorHAnsi" w:hAnsiTheme="majorHAnsi"/>
          <w:sz w:val="24"/>
          <w:szCs w:val="24"/>
        </w:rPr>
        <w:t>Legislative and regulatory support for public health services</w:t>
      </w:r>
    </w:p>
    <w:p w:rsidR="006A68A4" w:rsidRDefault="006A68A4" w:rsidP="006A68A4">
      <w:pPr>
        <w:numPr>
          <w:ilvl w:val="0"/>
          <w:numId w:val="7"/>
        </w:numPr>
        <w:spacing w:after="100" w:afterAutospacing="1" w:line="264" w:lineRule="auto"/>
        <w:ind w:right="-45"/>
        <w:contextualSpacing/>
        <w:jc w:val="both"/>
        <w:rPr>
          <w:rFonts w:asciiTheme="majorHAnsi" w:hAnsiTheme="majorHAnsi"/>
          <w:sz w:val="24"/>
          <w:szCs w:val="24"/>
        </w:rPr>
      </w:pPr>
      <w:r w:rsidRPr="006A68A4">
        <w:rPr>
          <w:rFonts w:asciiTheme="majorHAnsi" w:hAnsiTheme="majorHAnsi"/>
          <w:sz w:val="24"/>
          <w:szCs w:val="24"/>
        </w:rPr>
        <w:t xml:space="preserve">Investments in work force and responsibility of Public Health Managers – faster promotion avenues and authority </w:t>
      </w:r>
    </w:p>
    <w:p w:rsidR="00B866A8" w:rsidRPr="006A68A4" w:rsidRDefault="00B866A8" w:rsidP="00B866A8">
      <w:pPr>
        <w:spacing w:after="100" w:afterAutospacing="1" w:line="264" w:lineRule="auto"/>
        <w:ind w:left="720" w:right="-45"/>
        <w:contextualSpacing/>
        <w:jc w:val="both"/>
        <w:rPr>
          <w:rFonts w:asciiTheme="majorHAnsi" w:hAnsiTheme="majorHAnsi"/>
          <w:sz w:val="24"/>
          <w:szCs w:val="24"/>
        </w:rPr>
      </w:pPr>
    </w:p>
    <w:p w:rsidR="006A68A4" w:rsidRDefault="006A68A4" w:rsidP="006A68A4">
      <w:pPr>
        <w:spacing w:after="100" w:afterAutospacing="1" w:line="264" w:lineRule="auto"/>
        <w:ind w:right="-46"/>
        <w:contextualSpacing/>
        <w:jc w:val="both"/>
        <w:rPr>
          <w:rFonts w:asciiTheme="majorHAnsi" w:hAnsiTheme="majorHAnsi"/>
          <w:sz w:val="24"/>
          <w:szCs w:val="24"/>
        </w:rPr>
      </w:pPr>
      <w:r w:rsidRPr="006A68A4">
        <w:rPr>
          <w:rFonts w:asciiTheme="majorHAnsi" w:hAnsiTheme="majorHAnsi"/>
          <w:sz w:val="24"/>
          <w:szCs w:val="24"/>
        </w:rPr>
        <w:t>Having a well functioning Directorate of Public Health makes it possible for the state health department to enter into a stewardship role in public health services across the state. With professional public health management in place, Tamil Nadu boasts of better disease surveillance, better response to disease outbreaks, better inter-sectoral coordination and greater  support to ULBs</w:t>
      </w:r>
      <w:sdt>
        <w:sdtPr>
          <w:rPr>
            <w:rFonts w:asciiTheme="majorHAnsi" w:hAnsiTheme="majorHAnsi"/>
            <w:sz w:val="24"/>
            <w:szCs w:val="24"/>
          </w:rPr>
          <w:id w:val="6518505"/>
          <w:citation/>
        </w:sdtPr>
        <w:sdtContent>
          <w:r w:rsidR="00D20074" w:rsidRPr="006A68A4">
            <w:rPr>
              <w:rFonts w:asciiTheme="majorHAnsi" w:hAnsiTheme="majorHAnsi"/>
              <w:sz w:val="24"/>
              <w:szCs w:val="24"/>
            </w:rPr>
            <w:fldChar w:fldCharType="begin"/>
          </w:r>
          <w:r w:rsidRPr="006A68A4">
            <w:rPr>
              <w:rFonts w:asciiTheme="majorHAnsi" w:hAnsiTheme="majorHAnsi"/>
              <w:sz w:val="24"/>
              <w:szCs w:val="24"/>
            </w:rPr>
            <w:instrText xml:space="preserve"> CITATION Das101 \l 1033 </w:instrText>
          </w:r>
          <w:r w:rsidR="00D20074" w:rsidRPr="006A68A4">
            <w:rPr>
              <w:rFonts w:asciiTheme="majorHAnsi" w:hAnsiTheme="majorHAnsi"/>
              <w:sz w:val="24"/>
              <w:szCs w:val="24"/>
            </w:rPr>
            <w:fldChar w:fldCharType="separate"/>
          </w:r>
          <w:r w:rsidRPr="006A68A4">
            <w:rPr>
              <w:rFonts w:asciiTheme="majorHAnsi" w:hAnsiTheme="majorHAnsi"/>
              <w:noProof/>
              <w:sz w:val="24"/>
              <w:szCs w:val="24"/>
            </w:rPr>
            <w:t xml:space="preserve"> (Das Gupta, et al., 2010)</w:t>
          </w:r>
          <w:r w:rsidR="00D20074" w:rsidRPr="006A68A4">
            <w:rPr>
              <w:rFonts w:asciiTheme="majorHAnsi" w:hAnsiTheme="majorHAnsi"/>
              <w:sz w:val="24"/>
              <w:szCs w:val="24"/>
            </w:rPr>
            <w:fldChar w:fldCharType="end"/>
          </w:r>
        </w:sdtContent>
      </w:sdt>
      <w:r w:rsidRPr="006A68A4">
        <w:rPr>
          <w:rFonts w:asciiTheme="majorHAnsi" w:hAnsiTheme="majorHAnsi"/>
          <w:sz w:val="24"/>
          <w:szCs w:val="24"/>
        </w:rPr>
        <w:t>.</w:t>
      </w:r>
    </w:p>
    <w:p w:rsidR="00B866A8" w:rsidRPr="006A68A4" w:rsidRDefault="00B866A8" w:rsidP="006A68A4">
      <w:pPr>
        <w:spacing w:after="100" w:afterAutospacing="1" w:line="264" w:lineRule="auto"/>
        <w:ind w:right="-46"/>
        <w:contextualSpacing/>
        <w:jc w:val="both"/>
        <w:rPr>
          <w:rFonts w:asciiTheme="majorHAnsi" w:hAnsiTheme="majorHAnsi"/>
          <w:sz w:val="24"/>
          <w:szCs w:val="24"/>
        </w:rPr>
      </w:pPr>
    </w:p>
    <w:p w:rsidR="006A68A4" w:rsidRDefault="006A68A4" w:rsidP="006A68A4">
      <w:pPr>
        <w:spacing w:after="100" w:afterAutospacing="1" w:line="264" w:lineRule="auto"/>
        <w:ind w:right="-46"/>
        <w:contextualSpacing/>
        <w:jc w:val="both"/>
        <w:rPr>
          <w:rFonts w:asciiTheme="majorHAnsi" w:hAnsiTheme="majorHAnsi"/>
          <w:sz w:val="24"/>
          <w:szCs w:val="24"/>
        </w:rPr>
      </w:pPr>
      <w:r w:rsidRPr="006A68A4">
        <w:rPr>
          <w:rFonts w:asciiTheme="majorHAnsi" w:hAnsiTheme="majorHAnsi"/>
          <w:sz w:val="24"/>
          <w:szCs w:val="24"/>
        </w:rPr>
        <w:t xml:space="preserve">ULBs and higher authorities need to utilize the services of technical experts in the field of Epidemiology and Health service planning. The ULBs should be empowered and have the capacity to make plans to organize services in their cities </w:t>
      </w:r>
      <w:sdt>
        <w:sdtPr>
          <w:rPr>
            <w:rFonts w:asciiTheme="majorHAnsi" w:hAnsiTheme="majorHAnsi"/>
            <w:sz w:val="24"/>
            <w:szCs w:val="24"/>
          </w:rPr>
          <w:id w:val="6518532"/>
          <w:citation/>
        </w:sdtPr>
        <w:sdtContent>
          <w:r w:rsidR="00D20074" w:rsidRPr="006A68A4">
            <w:rPr>
              <w:rFonts w:asciiTheme="majorHAnsi" w:hAnsiTheme="majorHAnsi"/>
              <w:sz w:val="24"/>
              <w:szCs w:val="24"/>
            </w:rPr>
            <w:fldChar w:fldCharType="begin"/>
          </w:r>
          <w:r w:rsidRPr="006A68A4">
            <w:rPr>
              <w:rFonts w:asciiTheme="majorHAnsi" w:hAnsiTheme="majorHAnsi"/>
              <w:sz w:val="24"/>
              <w:szCs w:val="24"/>
            </w:rPr>
            <w:instrText xml:space="preserve"> CITATION Cha10 \l 1033  </w:instrText>
          </w:r>
          <w:r w:rsidR="00D20074" w:rsidRPr="006A68A4">
            <w:rPr>
              <w:rFonts w:asciiTheme="majorHAnsi" w:hAnsiTheme="majorHAnsi"/>
              <w:sz w:val="24"/>
              <w:szCs w:val="24"/>
            </w:rPr>
            <w:fldChar w:fldCharType="separate"/>
          </w:r>
          <w:r w:rsidRPr="006A68A4">
            <w:rPr>
              <w:rFonts w:asciiTheme="majorHAnsi" w:hAnsiTheme="majorHAnsi"/>
              <w:noProof/>
              <w:sz w:val="24"/>
              <w:szCs w:val="24"/>
            </w:rPr>
            <w:t>(Chatterjee, McKinsey's Urban Governance and Planning:Relevance to Health, 2010)</w:t>
          </w:r>
          <w:r w:rsidR="00D20074" w:rsidRPr="006A68A4">
            <w:rPr>
              <w:rFonts w:asciiTheme="majorHAnsi" w:hAnsiTheme="majorHAnsi"/>
              <w:sz w:val="24"/>
              <w:szCs w:val="24"/>
            </w:rPr>
            <w:fldChar w:fldCharType="end"/>
          </w:r>
        </w:sdtContent>
      </w:sdt>
      <w:r w:rsidRPr="006A68A4">
        <w:rPr>
          <w:rFonts w:asciiTheme="majorHAnsi" w:hAnsiTheme="majorHAnsi"/>
          <w:sz w:val="24"/>
          <w:szCs w:val="24"/>
        </w:rPr>
        <w:t xml:space="preserve">. </w:t>
      </w:r>
    </w:p>
    <w:p w:rsidR="00B60A4B" w:rsidRDefault="00B60A4B" w:rsidP="006A68A4">
      <w:pPr>
        <w:spacing w:after="100" w:afterAutospacing="1" w:line="264" w:lineRule="auto"/>
        <w:ind w:right="-46"/>
        <w:contextualSpacing/>
        <w:jc w:val="both"/>
        <w:rPr>
          <w:rFonts w:asciiTheme="majorHAnsi" w:hAnsiTheme="majorHAnsi"/>
          <w:sz w:val="24"/>
          <w:szCs w:val="24"/>
        </w:rPr>
      </w:pPr>
    </w:p>
    <w:p w:rsidR="00B60A4B" w:rsidRPr="006A68A4" w:rsidRDefault="00B60A4B" w:rsidP="006A68A4">
      <w:pPr>
        <w:spacing w:after="100" w:afterAutospacing="1" w:line="264" w:lineRule="auto"/>
        <w:ind w:right="-46"/>
        <w:contextualSpacing/>
        <w:jc w:val="both"/>
        <w:rPr>
          <w:rFonts w:asciiTheme="majorHAnsi" w:hAnsiTheme="majorHAnsi"/>
          <w:sz w:val="24"/>
          <w:szCs w:val="24"/>
        </w:rPr>
      </w:pPr>
    </w:p>
    <w:p w:rsidR="006A68A4" w:rsidRDefault="00B866A8" w:rsidP="006A68A4">
      <w:pPr>
        <w:spacing w:line="264" w:lineRule="auto"/>
        <w:contextualSpacing/>
        <w:jc w:val="both"/>
        <w:rPr>
          <w:rFonts w:asciiTheme="majorHAnsi" w:hAnsiTheme="majorHAnsi"/>
          <w:b/>
          <w:bCs/>
          <w:sz w:val="24"/>
          <w:szCs w:val="24"/>
        </w:rPr>
      </w:pPr>
      <w:r>
        <w:rPr>
          <w:rFonts w:asciiTheme="majorHAnsi" w:hAnsiTheme="majorHAnsi"/>
          <w:b/>
          <w:bCs/>
          <w:sz w:val="24"/>
          <w:szCs w:val="24"/>
        </w:rPr>
        <w:lastRenderedPageBreak/>
        <w:t xml:space="preserve">TOR Question 9: </w:t>
      </w:r>
      <w:r w:rsidR="006A68A4" w:rsidRPr="006A68A4">
        <w:rPr>
          <w:rFonts w:asciiTheme="majorHAnsi" w:hAnsiTheme="majorHAnsi"/>
          <w:b/>
          <w:bCs/>
          <w:sz w:val="24"/>
          <w:szCs w:val="24"/>
        </w:rPr>
        <w:t>How will these primary institutional arrangements, and various forms and levels of integration contribute to the development of city health plans? </w:t>
      </w:r>
    </w:p>
    <w:p w:rsidR="00B866A8" w:rsidRPr="006A68A4" w:rsidRDefault="00B866A8" w:rsidP="006A68A4">
      <w:pPr>
        <w:spacing w:line="264" w:lineRule="auto"/>
        <w:contextualSpacing/>
        <w:jc w:val="both"/>
        <w:rPr>
          <w:rFonts w:asciiTheme="majorHAnsi" w:hAnsiTheme="majorHAnsi"/>
          <w:b/>
          <w:bCs/>
          <w:sz w:val="24"/>
          <w:szCs w:val="24"/>
        </w:rPr>
      </w:pPr>
    </w:p>
    <w:p w:rsidR="006A68A4" w:rsidRP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 xml:space="preserve">The scenario today calls for city specific planning. The JnNURM too requires ULBs to prepare City Development Plans in order to access funds. Although they have been prepared by the cities, they have rarely been implemented </w:t>
      </w:r>
      <w:sdt>
        <w:sdtPr>
          <w:rPr>
            <w:rFonts w:asciiTheme="majorHAnsi" w:hAnsiTheme="majorHAnsi"/>
            <w:sz w:val="24"/>
            <w:szCs w:val="24"/>
          </w:rPr>
          <w:id w:val="3780677"/>
          <w:citation/>
        </w:sdtPr>
        <w:sdtContent>
          <w:r w:rsidR="00D20074" w:rsidRPr="006A68A4">
            <w:rPr>
              <w:rFonts w:asciiTheme="majorHAnsi" w:hAnsiTheme="majorHAnsi"/>
              <w:sz w:val="24"/>
              <w:szCs w:val="24"/>
            </w:rPr>
            <w:fldChar w:fldCharType="begin"/>
          </w:r>
          <w:r w:rsidRPr="006A68A4">
            <w:rPr>
              <w:rFonts w:asciiTheme="majorHAnsi" w:hAnsiTheme="majorHAnsi"/>
              <w:sz w:val="24"/>
              <w:szCs w:val="24"/>
            </w:rPr>
            <w:instrText xml:space="preserve"> CITATION Cha10 \l 1033 </w:instrText>
          </w:r>
          <w:r w:rsidR="00D20074" w:rsidRPr="006A68A4">
            <w:rPr>
              <w:rFonts w:asciiTheme="majorHAnsi" w:hAnsiTheme="majorHAnsi"/>
              <w:sz w:val="24"/>
              <w:szCs w:val="24"/>
            </w:rPr>
            <w:fldChar w:fldCharType="separate"/>
          </w:r>
          <w:r w:rsidRPr="006A68A4">
            <w:rPr>
              <w:rFonts w:asciiTheme="majorHAnsi" w:hAnsiTheme="majorHAnsi"/>
              <w:noProof/>
              <w:sz w:val="24"/>
              <w:szCs w:val="24"/>
            </w:rPr>
            <w:t>(Chatterjee, McKinsey's Urban Governance and Planning:Relevance to Health, 2010)</w:t>
          </w:r>
          <w:r w:rsidR="00D20074" w:rsidRPr="006A68A4">
            <w:rPr>
              <w:rFonts w:asciiTheme="majorHAnsi" w:hAnsiTheme="majorHAnsi"/>
              <w:sz w:val="24"/>
              <w:szCs w:val="24"/>
            </w:rPr>
            <w:fldChar w:fldCharType="end"/>
          </w:r>
        </w:sdtContent>
      </w:sdt>
      <w:r w:rsidRPr="006A68A4">
        <w:rPr>
          <w:rFonts w:asciiTheme="majorHAnsi" w:hAnsiTheme="majorHAnsi"/>
          <w:sz w:val="24"/>
          <w:szCs w:val="24"/>
        </w:rPr>
        <w:t>. ULBs should be empowered to prepare these plans both on a short-term and long-term basis, and these plans should be binding on them. Planning should involve experts in Epidemiology and health service planning. Health planning will include basic services, transport, safety and housing. Once the existing service delivery systems are reorganized and restructured, and effective coordination linkages established, this implementation will be facilitated. This concept will lead to integrated city planning and better coordination among the different stakeholders involved</w:t>
      </w:r>
      <w:sdt>
        <w:sdtPr>
          <w:rPr>
            <w:rFonts w:asciiTheme="majorHAnsi" w:hAnsiTheme="majorHAnsi"/>
            <w:sz w:val="24"/>
            <w:szCs w:val="24"/>
          </w:rPr>
          <w:id w:val="3780678"/>
          <w:citation/>
        </w:sdtPr>
        <w:sdtContent>
          <w:r w:rsidR="00D20074" w:rsidRPr="006A68A4">
            <w:rPr>
              <w:rFonts w:asciiTheme="majorHAnsi" w:hAnsiTheme="majorHAnsi"/>
              <w:sz w:val="24"/>
              <w:szCs w:val="24"/>
            </w:rPr>
            <w:fldChar w:fldCharType="begin"/>
          </w:r>
          <w:r w:rsidRPr="006A68A4">
            <w:rPr>
              <w:rFonts w:asciiTheme="majorHAnsi" w:hAnsiTheme="majorHAnsi"/>
              <w:sz w:val="24"/>
              <w:szCs w:val="24"/>
            </w:rPr>
            <w:instrText xml:space="preserve"> CITATION Cha10 \l 1033 </w:instrText>
          </w:r>
          <w:r w:rsidR="00D20074" w:rsidRPr="006A68A4">
            <w:rPr>
              <w:rFonts w:asciiTheme="majorHAnsi" w:hAnsiTheme="majorHAnsi"/>
              <w:sz w:val="24"/>
              <w:szCs w:val="24"/>
            </w:rPr>
            <w:fldChar w:fldCharType="separate"/>
          </w:r>
          <w:r w:rsidRPr="006A68A4">
            <w:rPr>
              <w:rFonts w:asciiTheme="majorHAnsi" w:hAnsiTheme="majorHAnsi"/>
              <w:noProof/>
              <w:sz w:val="24"/>
              <w:szCs w:val="24"/>
            </w:rPr>
            <w:t xml:space="preserve"> (Chatterjee, McKinsey's Urban Governance and Planning:Relevance to Health, 2010)</w:t>
          </w:r>
          <w:r w:rsidR="00D20074" w:rsidRPr="006A68A4">
            <w:rPr>
              <w:rFonts w:asciiTheme="majorHAnsi" w:hAnsiTheme="majorHAnsi"/>
              <w:sz w:val="24"/>
              <w:szCs w:val="24"/>
            </w:rPr>
            <w:fldChar w:fldCharType="end"/>
          </w:r>
        </w:sdtContent>
      </w:sdt>
      <w:r w:rsidRPr="006A68A4">
        <w:rPr>
          <w:rFonts w:asciiTheme="majorHAnsi" w:hAnsiTheme="majorHAnsi"/>
          <w:sz w:val="24"/>
          <w:szCs w:val="24"/>
        </w:rPr>
        <w:t xml:space="preserve">.  </w:t>
      </w:r>
    </w:p>
    <w:sdt>
      <w:sdtPr>
        <w:rPr>
          <w:rFonts w:asciiTheme="minorHAnsi" w:eastAsiaTheme="minorHAnsi" w:hAnsiTheme="minorHAnsi" w:cstheme="minorBidi"/>
          <w:b w:val="0"/>
          <w:bCs w:val="0"/>
          <w:color w:val="auto"/>
          <w:sz w:val="24"/>
          <w:szCs w:val="24"/>
          <w:lang w:val="en-IN" w:bidi="ar-SA"/>
        </w:rPr>
        <w:id w:val="14270638"/>
        <w:docPartObj>
          <w:docPartGallery w:val="Bibliographies"/>
          <w:docPartUnique/>
        </w:docPartObj>
      </w:sdtPr>
      <w:sdtEndPr>
        <w:rPr>
          <w:lang w:val="en-US"/>
        </w:rPr>
      </w:sdtEndPr>
      <w:sdtContent>
        <w:p w:rsidR="006A68A4" w:rsidRPr="00B866A8" w:rsidRDefault="00B866A8" w:rsidP="006A68A4">
          <w:pPr>
            <w:pStyle w:val="Heading1"/>
            <w:spacing w:line="264" w:lineRule="auto"/>
            <w:contextualSpacing/>
            <w:jc w:val="both"/>
            <w:rPr>
              <w:color w:val="auto"/>
              <w:sz w:val="24"/>
              <w:szCs w:val="24"/>
            </w:rPr>
          </w:pPr>
          <w:r w:rsidRPr="00B866A8">
            <w:rPr>
              <w:color w:val="auto"/>
              <w:sz w:val="24"/>
              <w:szCs w:val="24"/>
            </w:rPr>
            <w:t xml:space="preserve">References </w:t>
          </w:r>
        </w:p>
        <w:p w:rsidR="00B866A8" w:rsidRDefault="00B866A8" w:rsidP="006A68A4">
          <w:pPr>
            <w:pStyle w:val="Bibliography"/>
            <w:spacing w:line="264" w:lineRule="auto"/>
            <w:ind w:left="720" w:hanging="720"/>
            <w:contextualSpacing/>
            <w:jc w:val="both"/>
            <w:rPr>
              <w:rFonts w:asciiTheme="majorHAnsi" w:hAnsiTheme="majorHAnsi"/>
              <w:sz w:val="24"/>
              <w:szCs w:val="24"/>
            </w:rPr>
          </w:pPr>
        </w:p>
        <w:sdt>
          <w:sdtPr>
            <w:rPr>
              <w:rFonts w:asciiTheme="majorHAnsi" w:hAnsiTheme="majorHAnsi"/>
              <w:sz w:val="24"/>
              <w:szCs w:val="24"/>
              <w:lang w:val="en-US"/>
            </w:rPr>
            <w:id w:val="111145805"/>
            <w:bibliography/>
          </w:sdtPr>
          <w:sdtContent>
            <w:p w:rsidR="006A68A4" w:rsidRPr="00E242EB" w:rsidRDefault="00D20074" w:rsidP="006A68A4">
              <w:pPr>
                <w:pStyle w:val="Bibliography"/>
                <w:spacing w:line="264" w:lineRule="auto"/>
                <w:ind w:left="720" w:hanging="720"/>
                <w:contextualSpacing/>
                <w:jc w:val="both"/>
                <w:rPr>
                  <w:rFonts w:asciiTheme="majorHAnsi" w:hAnsiTheme="majorHAnsi"/>
                  <w:noProof/>
                  <w:lang w:val="en-US"/>
                </w:rPr>
              </w:pPr>
              <w:r w:rsidRPr="00D20074">
                <w:rPr>
                  <w:rFonts w:asciiTheme="majorHAnsi" w:hAnsiTheme="majorHAnsi"/>
                </w:rPr>
                <w:fldChar w:fldCharType="begin"/>
              </w:r>
              <w:r w:rsidR="006A68A4" w:rsidRPr="00E242EB">
                <w:rPr>
                  <w:rFonts w:asciiTheme="majorHAnsi" w:hAnsiTheme="majorHAnsi"/>
                </w:rPr>
                <w:instrText xml:space="preserve"> BIBLIOGRAPHY </w:instrText>
              </w:r>
              <w:r w:rsidRPr="00D20074">
                <w:rPr>
                  <w:rFonts w:asciiTheme="majorHAnsi" w:hAnsiTheme="majorHAnsi"/>
                </w:rPr>
                <w:fldChar w:fldCharType="separate"/>
              </w:r>
              <w:r w:rsidR="006A68A4" w:rsidRPr="00E242EB">
                <w:rPr>
                  <w:rFonts w:asciiTheme="majorHAnsi" w:hAnsiTheme="majorHAnsi"/>
                  <w:noProof/>
                  <w:lang w:val="en-US"/>
                </w:rPr>
                <w:t xml:space="preserve">Chatterjee, M. (2010, December). McKinsey's Urban Governance and Planning:Relevance to Health. </w:t>
              </w:r>
              <w:r w:rsidR="006A68A4" w:rsidRPr="00E242EB">
                <w:rPr>
                  <w:rFonts w:asciiTheme="majorHAnsi" w:hAnsiTheme="majorHAnsi"/>
                  <w:i/>
                  <w:iCs/>
                  <w:noProof/>
                  <w:lang w:val="en-US"/>
                </w:rPr>
                <w:t>India Health Beat:Supporting Evidence-based Policies and Planning, 4</w:t>
              </w:r>
              <w:r w:rsidR="006A68A4" w:rsidRPr="00E242EB">
                <w:rPr>
                  <w:rFonts w:asciiTheme="majorHAnsi" w:hAnsiTheme="majorHAnsi"/>
                  <w:noProof/>
                  <w:lang w:val="en-US"/>
                </w:rPr>
                <w:t>(2).</w:t>
              </w:r>
            </w:p>
            <w:p w:rsidR="006A68A4" w:rsidRPr="00E242EB" w:rsidRDefault="006A68A4" w:rsidP="006A68A4">
              <w:pPr>
                <w:pStyle w:val="Bibliography"/>
                <w:spacing w:line="264" w:lineRule="auto"/>
                <w:ind w:left="720" w:hanging="720"/>
                <w:contextualSpacing/>
                <w:jc w:val="both"/>
                <w:rPr>
                  <w:rFonts w:asciiTheme="majorHAnsi" w:hAnsiTheme="majorHAnsi"/>
                  <w:noProof/>
                  <w:lang w:val="en-US"/>
                </w:rPr>
              </w:pPr>
              <w:r w:rsidRPr="00E242EB">
                <w:rPr>
                  <w:rFonts w:asciiTheme="majorHAnsi" w:hAnsiTheme="majorHAnsi"/>
                  <w:noProof/>
                  <w:lang w:val="en-US"/>
                </w:rPr>
                <w:t xml:space="preserve">Chatterjee, M. (2010, December). Urban Health:Policy and Polity. </w:t>
              </w:r>
              <w:r w:rsidRPr="00E242EB">
                <w:rPr>
                  <w:rFonts w:asciiTheme="majorHAnsi" w:hAnsiTheme="majorHAnsi"/>
                  <w:i/>
                  <w:iCs/>
                  <w:noProof/>
                  <w:lang w:val="en-US"/>
                </w:rPr>
                <w:t>India Health Beat:Supporting Evidence-based Policies and Implementation</w:t>
              </w:r>
              <w:r w:rsidRPr="00E242EB">
                <w:rPr>
                  <w:rFonts w:asciiTheme="majorHAnsi" w:hAnsiTheme="majorHAnsi"/>
                  <w:noProof/>
                  <w:lang w:val="en-US"/>
                </w:rPr>
                <w:t>.</w:t>
              </w:r>
            </w:p>
            <w:p w:rsidR="006A68A4" w:rsidRPr="00E242EB" w:rsidRDefault="006A68A4" w:rsidP="006A68A4">
              <w:pPr>
                <w:pStyle w:val="Bibliography"/>
                <w:spacing w:line="264" w:lineRule="auto"/>
                <w:ind w:left="720" w:hanging="720"/>
                <w:contextualSpacing/>
                <w:jc w:val="both"/>
                <w:rPr>
                  <w:rFonts w:asciiTheme="majorHAnsi" w:hAnsiTheme="majorHAnsi"/>
                  <w:noProof/>
                  <w:lang w:val="en-US"/>
                </w:rPr>
              </w:pPr>
              <w:r w:rsidRPr="00E242EB">
                <w:rPr>
                  <w:rFonts w:asciiTheme="majorHAnsi" w:hAnsiTheme="majorHAnsi"/>
                  <w:noProof/>
                  <w:lang w:val="en-US"/>
                </w:rPr>
                <w:t xml:space="preserve">Das Gupta, M. (2010, December). Strengthening Public Health in Urban India:The Role of The National Urban Health Mission. </w:t>
              </w:r>
              <w:r w:rsidRPr="00E242EB">
                <w:rPr>
                  <w:rFonts w:asciiTheme="majorHAnsi" w:hAnsiTheme="majorHAnsi"/>
                  <w:i/>
                  <w:iCs/>
                  <w:noProof/>
                  <w:lang w:val="en-US"/>
                </w:rPr>
                <w:t>India Health Beat:Supporting Evidence Based Policies and Implementation, 4</w:t>
              </w:r>
              <w:r w:rsidRPr="00E242EB">
                <w:rPr>
                  <w:rFonts w:asciiTheme="majorHAnsi" w:hAnsiTheme="majorHAnsi"/>
                  <w:noProof/>
                  <w:lang w:val="en-US"/>
                </w:rPr>
                <w:t>(4).</w:t>
              </w:r>
            </w:p>
            <w:p w:rsidR="006A68A4" w:rsidRPr="00E242EB" w:rsidRDefault="006A68A4" w:rsidP="006A68A4">
              <w:pPr>
                <w:pStyle w:val="Bibliography"/>
                <w:spacing w:line="264" w:lineRule="auto"/>
                <w:ind w:left="720" w:hanging="720"/>
                <w:contextualSpacing/>
                <w:jc w:val="both"/>
                <w:rPr>
                  <w:rFonts w:asciiTheme="majorHAnsi" w:hAnsiTheme="majorHAnsi"/>
                  <w:noProof/>
                  <w:lang w:val="en-US"/>
                </w:rPr>
              </w:pPr>
              <w:r w:rsidRPr="00E242EB">
                <w:rPr>
                  <w:rFonts w:asciiTheme="majorHAnsi" w:hAnsiTheme="majorHAnsi"/>
                  <w:noProof/>
                  <w:lang w:val="en-US"/>
                </w:rPr>
                <w:t xml:space="preserve">Das Gupta, M., Desikachari, B. R., Shukla, R., Somanathan, T. V., Padmanaban, T., &amp; Datta, K. K. (2010, March 6th). How might India's Public Health Systems be strengthened:Lessons from Tamilnadu. </w:t>
              </w:r>
              <w:r w:rsidRPr="00E242EB">
                <w:rPr>
                  <w:rFonts w:asciiTheme="majorHAnsi" w:hAnsiTheme="majorHAnsi"/>
                  <w:i/>
                  <w:iCs/>
                  <w:noProof/>
                  <w:lang w:val="en-US"/>
                </w:rPr>
                <w:t>Economic and Political Weekly, XLV</w:t>
              </w:r>
              <w:r w:rsidRPr="00E242EB">
                <w:rPr>
                  <w:rFonts w:asciiTheme="majorHAnsi" w:hAnsiTheme="majorHAnsi"/>
                  <w:noProof/>
                  <w:lang w:val="en-US"/>
                </w:rPr>
                <w:t>(10), pp. 46-60.</w:t>
              </w:r>
            </w:p>
            <w:p w:rsidR="006A68A4" w:rsidRPr="00E242EB" w:rsidRDefault="006A68A4" w:rsidP="006A68A4">
              <w:pPr>
                <w:pStyle w:val="Bibliography"/>
                <w:spacing w:line="264" w:lineRule="auto"/>
                <w:ind w:left="720" w:hanging="720"/>
                <w:contextualSpacing/>
                <w:jc w:val="both"/>
                <w:rPr>
                  <w:rFonts w:asciiTheme="majorHAnsi" w:hAnsiTheme="majorHAnsi"/>
                  <w:noProof/>
                  <w:lang w:val="en-US"/>
                </w:rPr>
              </w:pPr>
              <w:r w:rsidRPr="00E242EB">
                <w:rPr>
                  <w:rFonts w:asciiTheme="majorHAnsi" w:hAnsiTheme="majorHAnsi"/>
                  <w:noProof/>
                  <w:lang w:val="en-US"/>
                </w:rPr>
                <w:t>Dasgupta, R. (2010). Ahmedabad and Surat:Urban Health Services. New Delhi: Unpublished work.</w:t>
              </w:r>
            </w:p>
            <w:p w:rsidR="006A68A4" w:rsidRPr="00E242EB" w:rsidRDefault="006A68A4" w:rsidP="006A68A4">
              <w:pPr>
                <w:pStyle w:val="Bibliography"/>
                <w:spacing w:line="264" w:lineRule="auto"/>
                <w:ind w:left="720" w:hanging="720"/>
                <w:contextualSpacing/>
                <w:jc w:val="both"/>
                <w:rPr>
                  <w:rFonts w:asciiTheme="majorHAnsi" w:hAnsiTheme="majorHAnsi"/>
                  <w:noProof/>
                  <w:lang w:val="en-US"/>
                </w:rPr>
              </w:pPr>
              <w:r w:rsidRPr="00E242EB">
                <w:rPr>
                  <w:rFonts w:asciiTheme="majorHAnsi" w:hAnsiTheme="majorHAnsi"/>
                  <w:noProof/>
                  <w:lang w:val="en-US"/>
                </w:rPr>
                <w:t xml:space="preserve">Dasgupta, R. (2010, December). Public Health in Urban India:Lessons from Surat. </w:t>
              </w:r>
              <w:r w:rsidRPr="00E242EB">
                <w:rPr>
                  <w:rFonts w:asciiTheme="majorHAnsi" w:hAnsiTheme="majorHAnsi"/>
                  <w:i/>
                  <w:iCs/>
                  <w:noProof/>
                  <w:lang w:val="en-US"/>
                </w:rPr>
                <w:t>India Health Beat:Supporting Evidence-based Policies and Implementation, 4</w:t>
              </w:r>
              <w:r w:rsidRPr="00E242EB">
                <w:rPr>
                  <w:rFonts w:asciiTheme="majorHAnsi" w:hAnsiTheme="majorHAnsi"/>
                  <w:noProof/>
                  <w:lang w:val="en-US"/>
                </w:rPr>
                <w:t>(5).</w:t>
              </w:r>
            </w:p>
            <w:p w:rsidR="006A68A4" w:rsidRPr="00E242EB" w:rsidRDefault="006A68A4" w:rsidP="006A68A4">
              <w:pPr>
                <w:pStyle w:val="Bibliography"/>
                <w:spacing w:line="264" w:lineRule="auto"/>
                <w:ind w:left="720" w:hanging="720"/>
                <w:contextualSpacing/>
                <w:jc w:val="both"/>
                <w:rPr>
                  <w:rFonts w:asciiTheme="majorHAnsi" w:hAnsiTheme="majorHAnsi"/>
                  <w:noProof/>
                  <w:lang w:val="en-US"/>
                </w:rPr>
              </w:pPr>
              <w:r w:rsidRPr="00E242EB">
                <w:rPr>
                  <w:rFonts w:asciiTheme="majorHAnsi" w:hAnsiTheme="majorHAnsi"/>
                  <w:noProof/>
                  <w:lang w:val="en-US"/>
                </w:rPr>
                <w:t xml:space="preserve">Gupta, S. (2010, December). Health Policy Challenges for Urbanizing India. </w:t>
              </w:r>
              <w:r w:rsidRPr="00E242EB">
                <w:rPr>
                  <w:rFonts w:asciiTheme="majorHAnsi" w:hAnsiTheme="majorHAnsi"/>
                  <w:i/>
                  <w:iCs/>
                  <w:noProof/>
                  <w:lang w:val="en-US"/>
                </w:rPr>
                <w:t>India Health Beat:Supporting Evidence Based Policies and Implementation, 4</w:t>
              </w:r>
              <w:r w:rsidRPr="00E242EB">
                <w:rPr>
                  <w:rFonts w:asciiTheme="majorHAnsi" w:hAnsiTheme="majorHAnsi"/>
                  <w:noProof/>
                  <w:lang w:val="en-US"/>
                </w:rPr>
                <w:t>(8).</w:t>
              </w:r>
            </w:p>
            <w:p w:rsidR="006A68A4" w:rsidRPr="00E242EB" w:rsidRDefault="006A68A4" w:rsidP="006A68A4">
              <w:pPr>
                <w:pStyle w:val="Bibliography"/>
                <w:spacing w:line="264" w:lineRule="auto"/>
                <w:ind w:left="720" w:hanging="720"/>
                <w:contextualSpacing/>
                <w:jc w:val="both"/>
                <w:rPr>
                  <w:rFonts w:asciiTheme="majorHAnsi" w:hAnsiTheme="majorHAnsi"/>
                  <w:noProof/>
                  <w:lang w:val="en-US"/>
                </w:rPr>
              </w:pPr>
              <w:r w:rsidRPr="00E242EB">
                <w:rPr>
                  <w:rFonts w:asciiTheme="majorHAnsi" w:hAnsiTheme="majorHAnsi"/>
                  <w:noProof/>
                  <w:lang w:val="en-US"/>
                </w:rPr>
                <w:t xml:space="preserve">More, N. S., Das, S., Bapat, U., Choredekar, L., Alcock, G., Joshi, W., &amp; Osrin, D. (2010, December). Maternal and Newborn Health:Dynamics of seeking healthcare within Mumbai slums. </w:t>
              </w:r>
              <w:r w:rsidRPr="00E242EB">
                <w:rPr>
                  <w:rFonts w:asciiTheme="majorHAnsi" w:hAnsiTheme="majorHAnsi"/>
                  <w:i/>
                  <w:iCs/>
                  <w:noProof/>
                  <w:lang w:val="en-US"/>
                </w:rPr>
                <w:t>India Health Beat:Supporting Evidence based Policies and Implementation, 4</w:t>
              </w:r>
              <w:r w:rsidRPr="00E242EB">
                <w:rPr>
                  <w:rFonts w:asciiTheme="majorHAnsi" w:hAnsiTheme="majorHAnsi"/>
                  <w:noProof/>
                  <w:lang w:val="en-US"/>
                </w:rPr>
                <w:t>(7).</w:t>
              </w:r>
            </w:p>
            <w:p w:rsidR="006A68A4" w:rsidRPr="00E242EB" w:rsidRDefault="006A68A4" w:rsidP="006A68A4">
              <w:pPr>
                <w:pStyle w:val="Bibliography"/>
                <w:spacing w:line="264" w:lineRule="auto"/>
                <w:ind w:left="720" w:hanging="720"/>
                <w:contextualSpacing/>
                <w:jc w:val="both"/>
                <w:rPr>
                  <w:rFonts w:asciiTheme="majorHAnsi" w:hAnsiTheme="majorHAnsi"/>
                  <w:noProof/>
                  <w:lang w:val="en-US"/>
                </w:rPr>
              </w:pPr>
              <w:r w:rsidRPr="00E242EB">
                <w:rPr>
                  <w:rFonts w:asciiTheme="majorHAnsi" w:hAnsiTheme="majorHAnsi"/>
                  <w:noProof/>
                  <w:lang w:val="en-US"/>
                </w:rPr>
                <w:t xml:space="preserve">NFHS-3. (2007). </w:t>
              </w:r>
              <w:r w:rsidRPr="00E242EB">
                <w:rPr>
                  <w:rFonts w:asciiTheme="majorHAnsi" w:hAnsiTheme="majorHAnsi"/>
                  <w:i/>
                  <w:iCs/>
                  <w:noProof/>
                  <w:lang w:val="en-US"/>
                </w:rPr>
                <w:t>National Family Health Survey (NFHS-3), Volume I, 2005-2006.</w:t>
              </w:r>
              <w:r w:rsidRPr="00E242EB">
                <w:rPr>
                  <w:rFonts w:asciiTheme="majorHAnsi" w:hAnsiTheme="majorHAnsi"/>
                  <w:noProof/>
                  <w:lang w:val="en-US"/>
                </w:rPr>
                <w:t xml:space="preserve"> Mumbai, India: Indian Institute of Population Sciences (IIPS) and Macro International.</w:t>
              </w:r>
            </w:p>
            <w:p w:rsidR="006A68A4" w:rsidRPr="00E242EB" w:rsidRDefault="006A68A4" w:rsidP="006A68A4">
              <w:pPr>
                <w:pStyle w:val="Bibliography"/>
                <w:spacing w:line="264" w:lineRule="auto"/>
                <w:ind w:left="720" w:hanging="720"/>
                <w:contextualSpacing/>
                <w:jc w:val="both"/>
                <w:rPr>
                  <w:rFonts w:asciiTheme="majorHAnsi" w:hAnsiTheme="majorHAnsi"/>
                  <w:noProof/>
                  <w:lang w:val="en-US"/>
                </w:rPr>
              </w:pPr>
              <w:r w:rsidRPr="00E242EB">
                <w:rPr>
                  <w:rFonts w:asciiTheme="majorHAnsi" w:hAnsiTheme="majorHAnsi"/>
                  <w:noProof/>
                  <w:lang w:val="en-US"/>
                </w:rPr>
                <w:t xml:space="preserve">NHRC. (n.d.). </w:t>
              </w:r>
              <w:r w:rsidRPr="00E242EB">
                <w:rPr>
                  <w:rFonts w:asciiTheme="majorHAnsi" w:hAnsiTheme="majorHAnsi"/>
                  <w:i/>
                  <w:iCs/>
                  <w:noProof/>
                  <w:lang w:val="en-US"/>
                </w:rPr>
                <w:t>Recommendations for Urban Health Services in India.</w:t>
              </w:r>
              <w:r w:rsidRPr="00E242EB">
                <w:rPr>
                  <w:rFonts w:asciiTheme="majorHAnsi" w:hAnsiTheme="majorHAnsi"/>
                  <w:noProof/>
                  <w:lang w:val="en-US"/>
                </w:rPr>
                <w:t xml:space="preserve"> Government of India: New Delhi.</w:t>
              </w:r>
            </w:p>
            <w:p w:rsidR="006A68A4" w:rsidRPr="00E242EB" w:rsidRDefault="006A68A4" w:rsidP="006A68A4">
              <w:pPr>
                <w:pStyle w:val="Bibliography"/>
                <w:spacing w:line="264" w:lineRule="auto"/>
                <w:ind w:left="720" w:hanging="720"/>
                <w:contextualSpacing/>
                <w:jc w:val="both"/>
                <w:rPr>
                  <w:rFonts w:asciiTheme="majorHAnsi" w:hAnsiTheme="majorHAnsi"/>
                  <w:noProof/>
                  <w:lang w:val="en-US"/>
                </w:rPr>
              </w:pPr>
              <w:r w:rsidRPr="00E242EB">
                <w:rPr>
                  <w:rFonts w:asciiTheme="majorHAnsi" w:hAnsiTheme="majorHAnsi"/>
                  <w:noProof/>
                  <w:lang w:val="en-US"/>
                </w:rPr>
                <w:t xml:space="preserve">PHRN. (2010). </w:t>
              </w:r>
              <w:r w:rsidRPr="00E242EB">
                <w:rPr>
                  <w:rFonts w:asciiTheme="majorHAnsi" w:hAnsiTheme="majorHAnsi"/>
                  <w:i/>
                  <w:iCs/>
                  <w:noProof/>
                  <w:lang w:val="en-US"/>
                </w:rPr>
                <w:t>Public Health Resource Network:Issues in Public Health, Book 16.</w:t>
              </w:r>
              <w:r w:rsidRPr="00E242EB">
                <w:rPr>
                  <w:rFonts w:asciiTheme="majorHAnsi" w:hAnsiTheme="majorHAnsi"/>
                  <w:noProof/>
                  <w:lang w:val="en-US"/>
                </w:rPr>
                <w:t xml:space="preserve"> Delhi: Capital Printers.</w:t>
              </w:r>
            </w:p>
            <w:p w:rsidR="006A68A4" w:rsidRPr="00E242EB" w:rsidRDefault="006A68A4" w:rsidP="006A68A4">
              <w:pPr>
                <w:pStyle w:val="Bibliography"/>
                <w:spacing w:line="264" w:lineRule="auto"/>
                <w:ind w:left="720" w:hanging="720"/>
                <w:contextualSpacing/>
                <w:jc w:val="both"/>
                <w:rPr>
                  <w:rFonts w:asciiTheme="majorHAnsi" w:hAnsiTheme="majorHAnsi"/>
                  <w:noProof/>
                  <w:lang w:val="en-US"/>
                </w:rPr>
              </w:pPr>
              <w:r w:rsidRPr="00E242EB">
                <w:rPr>
                  <w:rFonts w:asciiTheme="majorHAnsi" w:hAnsiTheme="majorHAnsi"/>
                  <w:noProof/>
                  <w:lang w:val="en-US"/>
                </w:rPr>
                <w:lastRenderedPageBreak/>
                <w:t xml:space="preserve">Raha, S. (2010, December). Institutional Arrangements in providing Urban Health Services:Current Context and the possible way forward. </w:t>
              </w:r>
              <w:r w:rsidRPr="00E242EB">
                <w:rPr>
                  <w:rFonts w:asciiTheme="majorHAnsi" w:hAnsiTheme="majorHAnsi"/>
                  <w:i/>
                  <w:iCs/>
                  <w:noProof/>
                  <w:lang w:val="en-US"/>
                </w:rPr>
                <w:t>India Health Beat:Supporting Evidence-based Policies and Implementation, 4</w:t>
              </w:r>
              <w:r w:rsidRPr="00E242EB">
                <w:rPr>
                  <w:rFonts w:asciiTheme="majorHAnsi" w:hAnsiTheme="majorHAnsi"/>
                  <w:noProof/>
                  <w:lang w:val="en-US"/>
                </w:rPr>
                <w:t>(3).</w:t>
              </w:r>
            </w:p>
            <w:p w:rsidR="006A68A4" w:rsidRPr="00E242EB" w:rsidRDefault="006A68A4" w:rsidP="006A68A4">
              <w:pPr>
                <w:pStyle w:val="Bibliography"/>
                <w:spacing w:line="264" w:lineRule="auto"/>
                <w:ind w:left="720" w:hanging="720"/>
                <w:contextualSpacing/>
                <w:jc w:val="both"/>
                <w:rPr>
                  <w:rFonts w:asciiTheme="majorHAnsi" w:hAnsiTheme="majorHAnsi"/>
                  <w:noProof/>
                  <w:lang w:val="en-US"/>
                </w:rPr>
              </w:pPr>
              <w:r w:rsidRPr="00E242EB">
                <w:rPr>
                  <w:rFonts w:asciiTheme="majorHAnsi" w:hAnsiTheme="majorHAnsi"/>
                  <w:noProof/>
                  <w:lang w:val="en-US"/>
                </w:rPr>
                <w:t xml:space="preserve">Vaidya, C. (2009). </w:t>
              </w:r>
              <w:r w:rsidRPr="00E242EB">
                <w:rPr>
                  <w:rFonts w:asciiTheme="majorHAnsi" w:hAnsiTheme="majorHAnsi"/>
                  <w:i/>
                  <w:iCs/>
                  <w:noProof/>
                  <w:lang w:val="en-US"/>
                </w:rPr>
                <w:t>Urban Issues, Reforms and the Way Forward in India.</w:t>
              </w:r>
              <w:r w:rsidRPr="00E242EB">
                <w:rPr>
                  <w:rFonts w:asciiTheme="majorHAnsi" w:hAnsiTheme="majorHAnsi"/>
                  <w:noProof/>
                  <w:lang w:val="en-US"/>
                </w:rPr>
                <w:t xml:space="preserve"> New Delhi: Department of Economic Affairs, Ministry of Finance, Government of India.</w:t>
              </w:r>
            </w:p>
            <w:p w:rsidR="006A68A4" w:rsidRPr="006A68A4" w:rsidRDefault="00D20074" w:rsidP="006A68A4">
              <w:pPr>
                <w:spacing w:line="264" w:lineRule="auto"/>
                <w:contextualSpacing/>
                <w:jc w:val="both"/>
                <w:rPr>
                  <w:rFonts w:asciiTheme="majorHAnsi" w:hAnsiTheme="majorHAnsi"/>
                  <w:sz w:val="24"/>
                  <w:szCs w:val="24"/>
                </w:rPr>
              </w:pPr>
              <w:r w:rsidRPr="00E242EB">
                <w:rPr>
                  <w:rFonts w:asciiTheme="majorHAnsi" w:hAnsiTheme="majorHAnsi"/>
                </w:rPr>
                <w:fldChar w:fldCharType="end"/>
              </w:r>
            </w:p>
          </w:sdtContent>
        </w:sdt>
      </w:sdtContent>
    </w:sdt>
    <w:p w:rsidR="006A68A4" w:rsidRPr="006A68A4" w:rsidRDefault="006A68A4" w:rsidP="006A68A4">
      <w:pPr>
        <w:spacing w:line="264" w:lineRule="auto"/>
        <w:contextualSpacing/>
        <w:jc w:val="both"/>
        <w:rPr>
          <w:rFonts w:asciiTheme="majorHAnsi" w:hAnsiTheme="majorHAnsi"/>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E242EB" w:rsidRDefault="00E242EB" w:rsidP="00B866A8">
      <w:pPr>
        <w:spacing w:line="264" w:lineRule="auto"/>
        <w:contextualSpacing/>
        <w:rPr>
          <w:rFonts w:asciiTheme="majorHAnsi" w:hAnsiTheme="majorHAnsi"/>
          <w:b/>
          <w:sz w:val="36"/>
          <w:szCs w:val="36"/>
        </w:rPr>
      </w:pPr>
    </w:p>
    <w:p w:rsidR="00E242EB" w:rsidRDefault="00E242EB" w:rsidP="00B866A8">
      <w:pPr>
        <w:spacing w:line="264" w:lineRule="auto"/>
        <w:contextualSpacing/>
        <w:rPr>
          <w:rFonts w:asciiTheme="majorHAnsi" w:hAnsiTheme="majorHAnsi"/>
          <w:b/>
          <w:sz w:val="36"/>
          <w:szCs w:val="36"/>
        </w:rPr>
      </w:pPr>
    </w:p>
    <w:p w:rsidR="00E242EB" w:rsidRDefault="00E242EB" w:rsidP="00B866A8">
      <w:pPr>
        <w:spacing w:line="264" w:lineRule="auto"/>
        <w:contextualSpacing/>
        <w:rPr>
          <w:rFonts w:asciiTheme="majorHAnsi" w:hAnsiTheme="majorHAnsi"/>
          <w:b/>
          <w:sz w:val="36"/>
          <w:szCs w:val="36"/>
        </w:rPr>
      </w:pPr>
    </w:p>
    <w:p w:rsidR="00E242EB" w:rsidRDefault="00E242EB" w:rsidP="00B866A8">
      <w:pPr>
        <w:spacing w:line="264" w:lineRule="auto"/>
        <w:contextualSpacing/>
        <w:rPr>
          <w:rFonts w:asciiTheme="majorHAnsi" w:hAnsiTheme="majorHAnsi"/>
          <w:b/>
          <w:sz w:val="36"/>
          <w:szCs w:val="36"/>
        </w:rPr>
      </w:pPr>
    </w:p>
    <w:p w:rsidR="00E242EB" w:rsidRDefault="00E242EB" w:rsidP="00B866A8">
      <w:pPr>
        <w:spacing w:line="264" w:lineRule="auto"/>
        <w:contextualSpacing/>
        <w:rPr>
          <w:rFonts w:asciiTheme="majorHAnsi" w:hAnsiTheme="majorHAnsi"/>
          <w:b/>
          <w:sz w:val="36"/>
          <w:szCs w:val="36"/>
        </w:rPr>
      </w:pPr>
    </w:p>
    <w:p w:rsidR="006A68A4" w:rsidRPr="00B866A8" w:rsidRDefault="006A68A4" w:rsidP="00B866A8">
      <w:pPr>
        <w:spacing w:line="264" w:lineRule="auto"/>
        <w:contextualSpacing/>
        <w:rPr>
          <w:rFonts w:asciiTheme="majorHAnsi" w:hAnsiTheme="majorHAnsi"/>
          <w:b/>
          <w:sz w:val="36"/>
          <w:szCs w:val="36"/>
        </w:rPr>
      </w:pPr>
      <w:r w:rsidRPr="00B866A8">
        <w:rPr>
          <w:rFonts w:asciiTheme="majorHAnsi" w:hAnsiTheme="majorHAnsi"/>
          <w:b/>
          <w:sz w:val="36"/>
          <w:szCs w:val="36"/>
        </w:rPr>
        <w:t xml:space="preserve">Working Group III: Community Processes and </w:t>
      </w:r>
      <w:r w:rsidR="00B866A8">
        <w:rPr>
          <w:rFonts w:asciiTheme="majorHAnsi" w:hAnsiTheme="majorHAnsi"/>
          <w:b/>
          <w:sz w:val="36"/>
          <w:szCs w:val="36"/>
        </w:rPr>
        <w:t>C</w:t>
      </w:r>
      <w:r w:rsidRPr="00B866A8">
        <w:rPr>
          <w:rFonts w:asciiTheme="majorHAnsi" w:hAnsiTheme="majorHAnsi"/>
          <w:b/>
          <w:sz w:val="36"/>
          <w:szCs w:val="36"/>
        </w:rPr>
        <w:t xml:space="preserve">onvergence </w:t>
      </w:r>
    </w:p>
    <w:p w:rsidR="006A68A4" w:rsidRPr="00B866A8" w:rsidRDefault="00D20074" w:rsidP="00B866A8">
      <w:pPr>
        <w:spacing w:line="264" w:lineRule="auto"/>
        <w:contextualSpacing/>
        <w:rPr>
          <w:rFonts w:asciiTheme="majorHAnsi" w:hAnsiTheme="majorHAnsi"/>
          <w:b/>
          <w:sz w:val="36"/>
          <w:szCs w:val="36"/>
        </w:rPr>
      </w:pPr>
      <w:r>
        <w:rPr>
          <w:rFonts w:asciiTheme="majorHAnsi" w:hAnsiTheme="majorHAnsi"/>
          <w:b/>
          <w:noProof/>
          <w:sz w:val="36"/>
          <w:szCs w:val="36"/>
        </w:rPr>
        <w:pict>
          <v:line id="Straight Connector 5" o:spid="_x0000_s1028" style="position:absolute;z-index:251672576;visibility:visible;mso-width-relative:margin" from="-9.2pt,8.45pt" to="494.7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" strokecolor="#4579b8 [3044]"/>
        </w:pict>
      </w:r>
    </w:p>
    <w:p w:rsidR="006A68A4" w:rsidRPr="00B866A8" w:rsidRDefault="006A68A4" w:rsidP="00B866A8">
      <w:pPr>
        <w:spacing w:line="264" w:lineRule="auto"/>
        <w:contextualSpacing/>
        <w:rPr>
          <w:rFonts w:asciiTheme="majorHAnsi" w:hAnsiTheme="majorHAnsi"/>
          <w:b/>
          <w:sz w:val="36"/>
          <w:szCs w:val="36"/>
        </w:rPr>
      </w:pPr>
    </w:p>
    <w:p w:rsidR="006A68A4" w:rsidRPr="00B866A8" w:rsidRDefault="006A68A4" w:rsidP="00B866A8">
      <w:pPr>
        <w:spacing w:line="264" w:lineRule="auto"/>
        <w:contextualSpacing/>
        <w:rPr>
          <w:rFonts w:asciiTheme="majorHAnsi" w:hAnsiTheme="majorHAnsi"/>
          <w:b/>
          <w:sz w:val="36"/>
          <w:szCs w:val="36"/>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E242EB" w:rsidRDefault="006A68A4" w:rsidP="006A68A4">
      <w:pPr>
        <w:pStyle w:val="NormalWeb"/>
        <w:spacing w:line="264" w:lineRule="auto"/>
        <w:contextualSpacing/>
        <w:rPr>
          <w:rFonts w:asciiTheme="majorHAnsi" w:hAnsiTheme="majorHAnsi"/>
          <w:b/>
          <w:sz w:val="28"/>
          <w:u w:val="single"/>
        </w:rPr>
      </w:pPr>
      <w:r w:rsidRPr="00E242EB">
        <w:rPr>
          <w:rFonts w:asciiTheme="majorHAnsi" w:hAnsiTheme="majorHAnsi"/>
          <w:b/>
          <w:sz w:val="28"/>
          <w:u w:val="single"/>
        </w:rPr>
        <w:lastRenderedPageBreak/>
        <w:t xml:space="preserve">Community Processes and Convergence: Review of Published Articles </w:t>
      </w:r>
    </w:p>
    <w:p w:rsidR="00AF4791" w:rsidRPr="006A68A4" w:rsidRDefault="00AF4791" w:rsidP="006A68A4">
      <w:pPr>
        <w:pStyle w:val="NormalWeb"/>
        <w:spacing w:line="264" w:lineRule="auto"/>
        <w:contextualSpacing/>
        <w:rPr>
          <w:rFonts w:asciiTheme="majorHAnsi" w:hAnsiTheme="majorHAnsi"/>
          <w:b/>
        </w:rPr>
      </w:pPr>
    </w:p>
    <w:p w:rsidR="006A68A4" w:rsidRDefault="006A68A4" w:rsidP="006A68A4">
      <w:pPr>
        <w:pStyle w:val="NormalWeb"/>
        <w:spacing w:line="264" w:lineRule="auto"/>
        <w:contextualSpacing/>
        <w:jc w:val="both"/>
        <w:rPr>
          <w:rFonts w:asciiTheme="majorHAnsi" w:hAnsiTheme="majorHAnsi"/>
        </w:rPr>
      </w:pPr>
      <w:r w:rsidRPr="006A68A4">
        <w:rPr>
          <w:rFonts w:asciiTheme="majorHAnsi" w:hAnsiTheme="majorHAnsi"/>
        </w:rPr>
        <w:t>National Urban Health Mission is proposed primarily to address the health needs and issues of urban poor. It proposes a broad framework which utilises the available manpower and resources, improves access through risk pooling and enhances community participation in planning and management. According to the framework, community participation through involvement of the intended primary recipients is the backbone of better health policy planning and implementation. Strengthening the communities is also important for the social audit of the programmes. However, one central question that is of concern here is the definition of 'community' in the urban context. The existence of a heterogeneous mix of vulnerable population in urban slums and the absence of social networks makes the definition of the term 'community' complicated.</w:t>
      </w:r>
    </w:p>
    <w:p w:rsidR="00AF4791" w:rsidRPr="006A68A4" w:rsidRDefault="00AF4791" w:rsidP="006A68A4">
      <w:pPr>
        <w:pStyle w:val="NormalWeb"/>
        <w:spacing w:line="264" w:lineRule="auto"/>
        <w:contextualSpacing/>
        <w:jc w:val="both"/>
        <w:rPr>
          <w:rFonts w:asciiTheme="majorHAnsi" w:hAnsiTheme="majorHAnsi"/>
        </w:rPr>
      </w:pPr>
    </w:p>
    <w:p w:rsidR="006A68A4" w:rsidRDefault="006A68A4" w:rsidP="006A68A4">
      <w:pPr>
        <w:pStyle w:val="NormalWeb"/>
        <w:spacing w:line="264" w:lineRule="auto"/>
        <w:contextualSpacing/>
        <w:jc w:val="both"/>
        <w:rPr>
          <w:rFonts w:asciiTheme="majorHAnsi" w:hAnsiTheme="majorHAnsi"/>
        </w:rPr>
      </w:pPr>
      <w:r w:rsidRPr="006A68A4">
        <w:rPr>
          <w:rFonts w:asciiTheme="majorHAnsi" w:hAnsiTheme="majorHAnsi"/>
        </w:rPr>
        <w:t xml:space="preserve"> The situation is most cities reveal that healthcare should not just be about providing health services; it should also combine both preventive and promotional strategies. This includes the coordinated activities with other departments, programmes and schemes.  Inter-sectoral and intra-sectoral coordination and convergence becomes significant in this context in the formulation of a National Urban Health Mission. This paper therefore discusses about various aspects of community participation, social audit, convergence and grievance redressal with special reference to the series of questions put forward in the TOR for the WG 3 for an effective formulation of strategies for community processes and convergence. </w:t>
      </w:r>
    </w:p>
    <w:p w:rsidR="00AF4791" w:rsidRPr="006A68A4" w:rsidRDefault="00AF4791" w:rsidP="006A68A4">
      <w:pPr>
        <w:pStyle w:val="NormalWeb"/>
        <w:spacing w:line="264" w:lineRule="auto"/>
        <w:contextualSpacing/>
        <w:jc w:val="both"/>
        <w:rPr>
          <w:rFonts w:asciiTheme="majorHAnsi" w:hAnsiTheme="majorHAnsi"/>
        </w:rPr>
      </w:pPr>
    </w:p>
    <w:p w:rsidR="006A68A4" w:rsidRDefault="006A68A4" w:rsidP="006A68A4">
      <w:pPr>
        <w:pStyle w:val="NormalWeb"/>
        <w:spacing w:line="264" w:lineRule="auto"/>
        <w:contextualSpacing/>
        <w:jc w:val="both"/>
        <w:rPr>
          <w:rFonts w:asciiTheme="majorHAnsi" w:hAnsiTheme="majorHAnsi"/>
          <w:b/>
          <w:bCs/>
        </w:rPr>
      </w:pPr>
      <w:r w:rsidRPr="006A68A4">
        <w:rPr>
          <w:rFonts w:asciiTheme="majorHAnsi" w:hAnsiTheme="majorHAnsi"/>
          <w:b/>
          <w:bCs/>
        </w:rPr>
        <w:t xml:space="preserve">1: Community </w:t>
      </w:r>
      <w:r w:rsidR="00AF4791">
        <w:rPr>
          <w:rFonts w:asciiTheme="majorHAnsi" w:hAnsiTheme="majorHAnsi"/>
          <w:b/>
          <w:bCs/>
        </w:rPr>
        <w:t>Participation</w:t>
      </w:r>
    </w:p>
    <w:p w:rsidR="00AF4791" w:rsidRPr="006A68A4" w:rsidRDefault="00AF4791" w:rsidP="006A68A4">
      <w:pPr>
        <w:pStyle w:val="NormalWeb"/>
        <w:spacing w:line="264" w:lineRule="auto"/>
        <w:contextualSpacing/>
        <w:jc w:val="both"/>
        <w:rPr>
          <w:rFonts w:asciiTheme="majorHAnsi" w:hAnsiTheme="majorHAnsi"/>
          <w:b/>
          <w:bCs/>
        </w:rPr>
      </w:pPr>
    </w:p>
    <w:p w:rsidR="006A68A4" w:rsidRPr="00AF4791" w:rsidRDefault="00AF4791" w:rsidP="006A68A4">
      <w:pPr>
        <w:pStyle w:val="NormalWeb"/>
        <w:spacing w:line="264" w:lineRule="auto"/>
        <w:contextualSpacing/>
        <w:jc w:val="both"/>
        <w:rPr>
          <w:rFonts w:asciiTheme="majorHAnsi" w:hAnsiTheme="majorHAnsi"/>
          <w:b/>
        </w:rPr>
      </w:pPr>
      <w:r w:rsidRPr="00AF4791">
        <w:rPr>
          <w:rFonts w:asciiTheme="majorHAnsi" w:hAnsiTheme="majorHAnsi"/>
          <w:b/>
        </w:rPr>
        <w:t xml:space="preserve">TOR Question 1: </w:t>
      </w:r>
      <w:r w:rsidR="006A68A4" w:rsidRPr="00AF4791">
        <w:rPr>
          <w:rFonts w:asciiTheme="majorHAnsi" w:hAnsiTheme="majorHAnsi"/>
          <w:b/>
        </w:rPr>
        <w:t>What are the strategies to ensure involvement of the intended vulnerable people and groups in planning and implementation of the urban primary health programmes for them?</w:t>
      </w:r>
    </w:p>
    <w:p w:rsidR="00AF4791" w:rsidRPr="006A68A4" w:rsidRDefault="00AF4791" w:rsidP="006A68A4">
      <w:pPr>
        <w:pStyle w:val="NormalWeb"/>
        <w:spacing w:line="264" w:lineRule="auto"/>
        <w:contextualSpacing/>
        <w:jc w:val="both"/>
        <w:rPr>
          <w:rFonts w:asciiTheme="majorHAnsi" w:hAnsiTheme="majorHAnsi"/>
        </w:rPr>
      </w:pPr>
    </w:p>
    <w:p w:rsidR="006A68A4" w:rsidRPr="006A68A4" w:rsidRDefault="006A68A4" w:rsidP="006A68A4">
      <w:pPr>
        <w:pStyle w:val="NormalWeb"/>
        <w:spacing w:line="264" w:lineRule="auto"/>
        <w:contextualSpacing/>
        <w:jc w:val="both"/>
        <w:rPr>
          <w:rFonts w:asciiTheme="majorHAnsi" w:hAnsiTheme="majorHAnsi"/>
        </w:rPr>
      </w:pPr>
      <w:r w:rsidRPr="006A68A4">
        <w:rPr>
          <w:rFonts w:asciiTheme="majorHAnsi" w:hAnsiTheme="majorHAnsi"/>
        </w:rPr>
        <w:t xml:space="preserve">Planning and implementation of health programmes without the participation of intended groups can be restrictive to provision of universal health care. In an urban setting this becomes more challenging as issues like the absence of strong social networks makes the mobilization of communities difficult. Absence of community spaces like Gramsabhas adds to the problem. The primary objective of community participation is to empower the communities to demand health services through awareness generation and to ensure their effective participation in the planning and management of health care services. In this specific context the question of community participation would be challenging due to the heterogeneity of the vulnerable groups in the urban areas. However many attempts have been made across the country to   ensure community participation through various means. Some of the strategies to ensure the community participation include promoting link worker/community health volunteer, creation of Mahila Arogya Samitis or Rogi Kalyan </w:t>
      </w:r>
      <w:r w:rsidRPr="006A68A4">
        <w:rPr>
          <w:rFonts w:asciiTheme="majorHAnsi" w:hAnsiTheme="majorHAnsi"/>
        </w:rPr>
        <w:lastRenderedPageBreak/>
        <w:t xml:space="preserve">Samitis etc. Other programmes include the formation of self-help groups, associations of vulnerable groups etc. NGOs are encouraged to establish community groups among the heterogeneous urban vulnerable population and to help in the capacity building of Community Health Volunteers. The strategies to ensure community participation in existing programmes are discussed here with some examples and the existing gaps are listed out. </w:t>
      </w:r>
    </w:p>
    <w:p w:rsidR="006A68A4" w:rsidRPr="006A68A4" w:rsidRDefault="006A68A4" w:rsidP="006A68A4">
      <w:pPr>
        <w:pStyle w:val="NormalWeb"/>
        <w:spacing w:line="264" w:lineRule="auto"/>
        <w:contextualSpacing/>
        <w:jc w:val="both"/>
        <w:rPr>
          <w:rFonts w:asciiTheme="majorHAnsi" w:hAnsiTheme="majorHAnsi"/>
        </w:rPr>
      </w:pPr>
    </w:p>
    <w:p w:rsidR="006A68A4" w:rsidRPr="006A68A4" w:rsidRDefault="006A68A4" w:rsidP="006A68A4">
      <w:pPr>
        <w:pStyle w:val="NormalWeb"/>
        <w:spacing w:line="264" w:lineRule="auto"/>
        <w:contextualSpacing/>
        <w:jc w:val="both"/>
        <w:rPr>
          <w:rFonts w:asciiTheme="majorHAnsi" w:hAnsiTheme="majorHAnsi"/>
        </w:rPr>
      </w:pPr>
    </w:p>
    <w:p w:rsidR="006A68A4" w:rsidRPr="006A68A4" w:rsidRDefault="006A68A4" w:rsidP="006A68A4">
      <w:pPr>
        <w:pStyle w:val="NormalWeb"/>
        <w:numPr>
          <w:ilvl w:val="0"/>
          <w:numId w:val="12"/>
        </w:numPr>
        <w:spacing w:after="0" w:afterAutospacing="0" w:line="264" w:lineRule="auto"/>
        <w:contextualSpacing/>
        <w:jc w:val="both"/>
        <w:rPr>
          <w:rFonts w:asciiTheme="majorHAnsi" w:hAnsiTheme="majorHAnsi"/>
        </w:rPr>
      </w:pPr>
      <w:r w:rsidRPr="006A68A4">
        <w:rPr>
          <w:rFonts w:asciiTheme="majorHAnsi" w:hAnsiTheme="majorHAnsi"/>
        </w:rPr>
        <w:t xml:space="preserve">Link Worker or Community Health Volunteers: The female health worker acts as interlink between communities and the health department. NUHM envisages an urban social health activist for its outreach programme. The City Initiative for Newborn Health (CINH) initiated by SNEHA in Mumbai is one of the examples for the outreach service provided through community health workers. Female facilitators named </w:t>
      </w:r>
      <w:r w:rsidRPr="006A68A4">
        <w:rPr>
          <w:rFonts w:asciiTheme="majorHAnsi" w:hAnsiTheme="majorHAnsi"/>
          <w:i/>
          <w:iCs/>
        </w:rPr>
        <w:t xml:space="preserve">Sakhis </w:t>
      </w:r>
      <w:r w:rsidRPr="006A68A4">
        <w:rPr>
          <w:rFonts w:asciiTheme="majorHAnsi" w:hAnsiTheme="majorHAnsi"/>
        </w:rPr>
        <w:t>were entrusted to establish community groups and facilitate the health education. However, Down to Earth reported that a programme similar to ASHA may not be effective in urban setting based on the study of urban slums in Mumbai. It was stated in the report that there was no significant improvement in health indicators in urban population in Mumbai (Matharu, 2012). This raises questions on the effectiveness of the CINH programme. It therefore becomes imperative to discuss in detail the prospects and problems of community health worker programmes in the urban context.</w:t>
      </w:r>
    </w:p>
    <w:p w:rsidR="006A68A4" w:rsidRPr="006A68A4" w:rsidRDefault="006A68A4" w:rsidP="006A68A4">
      <w:pPr>
        <w:pStyle w:val="NormalWeb"/>
        <w:spacing w:after="0" w:afterAutospacing="0" w:line="264" w:lineRule="auto"/>
        <w:ind w:left="720"/>
        <w:contextualSpacing/>
        <w:jc w:val="both"/>
        <w:rPr>
          <w:rFonts w:asciiTheme="majorHAnsi" w:hAnsiTheme="majorHAnsi"/>
        </w:rPr>
      </w:pPr>
    </w:p>
    <w:p w:rsidR="00AF4791" w:rsidRDefault="006A68A4" w:rsidP="00AF4791">
      <w:pPr>
        <w:pStyle w:val="NormalWeb"/>
        <w:numPr>
          <w:ilvl w:val="0"/>
          <w:numId w:val="12"/>
        </w:numPr>
        <w:spacing w:after="0" w:afterAutospacing="0" w:line="264" w:lineRule="auto"/>
        <w:contextualSpacing/>
        <w:jc w:val="both"/>
        <w:rPr>
          <w:rFonts w:asciiTheme="majorHAnsi" w:hAnsiTheme="majorHAnsi"/>
        </w:rPr>
      </w:pPr>
      <w:r w:rsidRPr="006A68A4">
        <w:rPr>
          <w:rFonts w:asciiTheme="majorHAnsi" w:hAnsiTheme="majorHAnsi"/>
        </w:rPr>
        <w:t xml:space="preserve">Self-Help Groups: Women are organised into small groups which act as social institutions and a pool of social capital from which they draw economic and social support and confidence to tackle various issues. The programme is also intended to socially and economically empower women. Karnataka Urban Infrastructure development programme constituted self- help groups in the urban slums of Karnataka to ensure community participation. The establishment of self-help groups was maintained under the women development and empowerment component of the project. However, the women were not involved in the slum improvement programme. A similar situation is observed in case of the Clean Kerala Business (CKB) units under the </w:t>
      </w:r>
      <w:r w:rsidRPr="006A68A4">
        <w:rPr>
          <w:rFonts w:asciiTheme="majorHAnsi" w:hAnsiTheme="majorHAnsi"/>
          <w:i/>
          <w:iCs/>
        </w:rPr>
        <w:t xml:space="preserve">Kudumbashree </w:t>
      </w:r>
      <w:r w:rsidRPr="006A68A4">
        <w:rPr>
          <w:rFonts w:asciiTheme="majorHAnsi" w:hAnsiTheme="majorHAnsi"/>
        </w:rPr>
        <w:t xml:space="preserve">mission of Kerala where self-help groups were involved in the urban sanitation drive. One of the major drawbacks of this project was that these self-help groups were engaged to help clean the city's best serviced areas and not the poorly developed areas where most of the participants of these self-help groups came from. </w:t>
      </w:r>
    </w:p>
    <w:p w:rsidR="00AF4791" w:rsidRPr="00AF4791" w:rsidRDefault="00AF4791" w:rsidP="00AF4791">
      <w:pPr>
        <w:pStyle w:val="NormalWeb"/>
        <w:spacing w:after="0" w:afterAutospacing="0" w:line="264" w:lineRule="auto"/>
        <w:contextualSpacing/>
        <w:jc w:val="both"/>
        <w:rPr>
          <w:rFonts w:asciiTheme="majorHAnsi" w:hAnsiTheme="majorHAnsi"/>
        </w:rPr>
      </w:pPr>
    </w:p>
    <w:p w:rsidR="006A68A4" w:rsidRDefault="006A68A4" w:rsidP="006A68A4">
      <w:pPr>
        <w:pStyle w:val="NormalWeb"/>
        <w:spacing w:line="264" w:lineRule="auto"/>
        <w:ind w:left="720"/>
        <w:contextualSpacing/>
        <w:jc w:val="both"/>
        <w:rPr>
          <w:rFonts w:asciiTheme="majorHAnsi" w:hAnsiTheme="majorHAnsi"/>
        </w:rPr>
      </w:pPr>
      <w:r w:rsidRPr="006A68A4">
        <w:rPr>
          <w:rFonts w:asciiTheme="majorHAnsi" w:hAnsiTheme="majorHAnsi"/>
        </w:rPr>
        <w:t xml:space="preserve">The NUHM envisages formation of Mahila Arogya Samitis (MAS) which comprise of 10-15 members depending on the size of the slum. Existing structures under SJSRY like Mahila Bachat Gat in Maharashtra, urban health initiatives in Indore and AP, may federate into </w:t>
      </w:r>
      <w:r w:rsidRPr="006A68A4">
        <w:rPr>
          <w:rFonts w:asciiTheme="majorHAnsi" w:hAnsiTheme="majorHAnsi"/>
          <w:i/>
        </w:rPr>
        <w:t>Mahila Arogya Samiti</w:t>
      </w:r>
      <w:r w:rsidRPr="006A68A4">
        <w:rPr>
          <w:rFonts w:asciiTheme="majorHAnsi" w:hAnsiTheme="majorHAnsi"/>
        </w:rPr>
        <w:t xml:space="preserve">, (MAS) a community based federated group </w:t>
      </w:r>
      <w:r w:rsidRPr="006A68A4">
        <w:rPr>
          <w:rFonts w:asciiTheme="majorHAnsi" w:hAnsiTheme="majorHAnsi"/>
        </w:rPr>
        <w:lastRenderedPageBreak/>
        <w:t>of around 50-100 households, depending upon the size and concentration of the slum population. MAS has the flexibility for state level adjustments, and are responsible for promoting change in health and hygiene behaviour  and facilitating community risk pooling mechanism in their coverage area. Like self-help groups the MAS help in risk pooling and provision of emergency funds. States would be encouraged to involve NGOs to facilitate establishment of community groups, and to build the capacity of ASHA and MAS. The Urban Health programmes in Indore and Agra have demonstrated the importance of strengthening community capacity either through Link worker or a Community Based Organization (CBO), which is similar in structure to that of MAS, in improving the health service utilization. The demand for health services among slum communities is enhanced through capacity building of community based organisations, which are women's groups  comprising of 10-15 active women from the community. Several community based organisations were formed called Basti CBOs to demand health services and to bring about a behavioural change towards the adoption of healthier lifestyles. The activities of CBOs are supported and supervised by NGOs.</w:t>
      </w:r>
    </w:p>
    <w:p w:rsidR="00AF4791" w:rsidRPr="006A68A4" w:rsidRDefault="00AF4791" w:rsidP="006A68A4">
      <w:pPr>
        <w:pStyle w:val="NormalWeb"/>
        <w:spacing w:line="264" w:lineRule="auto"/>
        <w:ind w:left="720"/>
        <w:contextualSpacing/>
        <w:jc w:val="both"/>
        <w:rPr>
          <w:rFonts w:asciiTheme="majorHAnsi" w:hAnsiTheme="majorHAnsi"/>
        </w:rPr>
      </w:pPr>
    </w:p>
    <w:p w:rsidR="006A68A4" w:rsidRDefault="00AF4791" w:rsidP="00E242EB">
      <w:pPr>
        <w:pStyle w:val="NormalWeb"/>
        <w:numPr>
          <w:ilvl w:val="0"/>
          <w:numId w:val="29"/>
        </w:numPr>
        <w:tabs>
          <w:tab w:val="left" w:pos="0"/>
          <w:tab w:val="left" w:pos="630"/>
        </w:tabs>
        <w:spacing w:line="264" w:lineRule="auto"/>
        <w:ind w:left="360"/>
        <w:contextualSpacing/>
        <w:jc w:val="both"/>
        <w:rPr>
          <w:rFonts w:asciiTheme="majorHAnsi" w:hAnsiTheme="majorHAnsi"/>
          <w:b/>
          <w:bCs/>
        </w:rPr>
      </w:pPr>
      <w:r>
        <w:rPr>
          <w:rFonts w:asciiTheme="majorHAnsi" w:hAnsiTheme="majorHAnsi"/>
          <w:b/>
          <w:bCs/>
        </w:rPr>
        <w:t>Social Audit</w:t>
      </w:r>
    </w:p>
    <w:p w:rsidR="00AF4791" w:rsidRPr="006A68A4" w:rsidRDefault="00AF4791" w:rsidP="00AF4791">
      <w:pPr>
        <w:pStyle w:val="NormalWeb"/>
        <w:spacing w:line="264" w:lineRule="auto"/>
        <w:ind w:left="720"/>
        <w:contextualSpacing/>
        <w:jc w:val="both"/>
        <w:rPr>
          <w:rFonts w:asciiTheme="majorHAnsi" w:hAnsiTheme="majorHAnsi"/>
          <w:b/>
          <w:bCs/>
        </w:rPr>
      </w:pPr>
    </w:p>
    <w:p w:rsidR="006A68A4" w:rsidRPr="00AF4791" w:rsidRDefault="00AF4791" w:rsidP="006A68A4">
      <w:pPr>
        <w:pStyle w:val="NormalWeb"/>
        <w:spacing w:line="264" w:lineRule="auto"/>
        <w:contextualSpacing/>
        <w:jc w:val="both"/>
        <w:rPr>
          <w:rFonts w:asciiTheme="majorHAnsi" w:hAnsiTheme="majorHAnsi"/>
          <w:b/>
        </w:rPr>
      </w:pPr>
      <w:r w:rsidRPr="00AF4791">
        <w:rPr>
          <w:rFonts w:asciiTheme="majorHAnsi" w:hAnsiTheme="majorHAnsi"/>
          <w:b/>
        </w:rPr>
        <w:t xml:space="preserve">TOR Question 2: </w:t>
      </w:r>
      <w:r w:rsidR="006A68A4" w:rsidRPr="00AF4791">
        <w:rPr>
          <w:rFonts w:asciiTheme="majorHAnsi" w:hAnsiTheme="majorHAnsi"/>
          <w:b/>
        </w:rPr>
        <w:t>What are the strategies for social audits and other forms of community monitoring and evaluation by these vulnerable groups of the urban primary health programmes?</w:t>
      </w:r>
    </w:p>
    <w:p w:rsidR="006A68A4" w:rsidRPr="006A68A4" w:rsidRDefault="006A68A4" w:rsidP="00AF4791">
      <w:pPr>
        <w:pStyle w:val="BodyTextIndent"/>
        <w:spacing w:line="264" w:lineRule="auto"/>
        <w:ind w:left="0"/>
        <w:contextualSpacing/>
        <w:jc w:val="both"/>
        <w:rPr>
          <w:rFonts w:asciiTheme="majorHAnsi" w:hAnsiTheme="majorHAnsi"/>
        </w:rPr>
      </w:pPr>
      <w:r w:rsidRPr="006A68A4">
        <w:rPr>
          <w:rFonts w:asciiTheme="majorHAnsi" w:hAnsiTheme="majorHAnsi"/>
        </w:rPr>
        <w:t>Social audit is a process where people work with the government to monitor and evaluate planning and implementation of a scheme. Social auditing is distinct from other commonly used evaluation measures as it involves the active participation of the community that was the targeted beneficiary of the governmental programme. To avail the advantage of this feedback mechanism, the government needs to include social auditing as part of its policies and programmes. In particular, it aims to involve all stakeholders in the process.  In the health sector social audit becomes an important tool for effective program implementation, awareness generation, program monitoring and evaluation, reducing the chances of corruption, grievance redressal, and follow-up on corrective actions</w:t>
      </w:r>
      <w:r w:rsidRPr="006A68A4">
        <w:rPr>
          <w:rStyle w:val="FootnoteReference"/>
          <w:rFonts w:asciiTheme="majorHAnsi" w:hAnsiTheme="majorHAnsi"/>
        </w:rPr>
        <w:footnoteReference w:id="2"/>
      </w:r>
      <w:r w:rsidRPr="006A68A4">
        <w:rPr>
          <w:rFonts w:asciiTheme="majorHAnsi" w:hAnsiTheme="majorHAnsi"/>
        </w:rPr>
        <w:t>. At present the evaluation of a policy revolves around the utilization of funds and efficiency of the scheme.</w:t>
      </w:r>
    </w:p>
    <w:p w:rsidR="006A68A4" w:rsidRPr="006A68A4" w:rsidRDefault="006A68A4" w:rsidP="00AF4791">
      <w:pPr>
        <w:spacing w:after="0" w:line="264" w:lineRule="auto"/>
        <w:contextualSpacing/>
        <w:jc w:val="both"/>
        <w:rPr>
          <w:rFonts w:asciiTheme="majorHAnsi" w:eastAsia="Times New Roman" w:hAnsiTheme="majorHAnsi" w:cs="Times New Roman"/>
          <w:sz w:val="24"/>
          <w:szCs w:val="24"/>
          <w:lang w:eastAsia="en-IN" w:bidi="mr-IN"/>
        </w:rPr>
      </w:pPr>
      <w:r w:rsidRPr="006A68A4">
        <w:rPr>
          <w:rFonts w:asciiTheme="majorHAnsi" w:hAnsiTheme="majorHAnsi" w:cs="Times New Roman"/>
          <w:sz w:val="24"/>
          <w:szCs w:val="24"/>
        </w:rPr>
        <w:t xml:space="preserve">In the literatures it has been suggested that strengthening of Panchayati Raj institutions may help in efficient social audit. It is also said that there is a role for every grass root institutions like self-help groups, associations of the vulnerable groups and other </w:t>
      </w:r>
      <w:r w:rsidRPr="006A68A4">
        <w:rPr>
          <w:rFonts w:asciiTheme="majorHAnsi" w:hAnsiTheme="majorHAnsi" w:cs="Times New Roman"/>
          <w:sz w:val="24"/>
          <w:szCs w:val="24"/>
        </w:rPr>
        <w:lastRenderedPageBreak/>
        <w:t xml:space="preserve">beneficiary committees to involve in the social audit. Especially in the urban centres where there are no arrangements like Gramsabhas, strengthening of local community for social audit becomes important. </w:t>
      </w:r>
      <w:r w:rsidRPr="006A68A4">
        <w:rPr>
          <w:rFonts w:asciiTheme="majorHAnsi" w:eastAsia="Times New Roman" w:hAnsiTheme="majorHAnsi" w:cs="Times New Roman"/>
          <w:sz w:val="24"/>
          <w:szCs w:val="24"/>
          <w:lang w:eastAsia="en-IN" w:bidi="mr-IN"/>
        </w:rPr>
        <w:t xml:space="preserve">The guidelines for social audit stipulate that it should be conducted through systematic analysis of secondary and primary data of the unit of social audit. The analysed data should then be disseminated in a social audit meeting where all stakeholders are invited. Major steps involved in the social audit processes include: </w:t>
      </w:r>
    </w:p>
    <w:p w:rsidR="006A68A4" w:rsidRPr="006A68A4" w:rsidRDefault="006A68A4" w:rsidP="00AF4791">
      <w:pPr>
        <w:spacing w:after="0" w:line="264" w:lineRule="auto"/>
        <w:contextualSpacing/>
        <w:rPr>
          <w:rFonts w:asciiTheme="majorHAnsi" w:eastAsia="Times New Roman" w:hAnsiTheme="majorHAnsi" w:cs="Times New Roman"/>
          <w:sz w:val="24"/>
          <w:szCs w:val="24"/>
          <w:lang w:eastAsia="en-IN" w:bidi="mr-IN"/>
        </w:rPr>
      </w:pPr>
    </w:p>
    <w:p w:rsidR="006A68A4" w:rsidRPr="006A68A4" w:rsidRDefault="006A68A4" w:rsidP="00AF4791">
      <w:pPr>
        <w:pStyle w:val="ListParagraph"/>
        <w:numPr>
          <w:ilvl w:val="0"/>
          <w:numId w:val="10"/>
        </w:numPr>
        <w:spacing w:after="0" w:line="264" w:lineRule="auto"/>
        <w:ind w:left="720"/>
        <w:rPr>
          <w:rFonts w:asciiTheme="majorHAnsi" w:eastAsia="Times New Roman" w:hAnsiTheme="majorHAnsi" w:cs="Times New Roman"/>
          <w:sz w:val="24"/>
          <w:szCs w:val="24"/>
          <w:lang w:eastAsia="en-IN" w:bidi="mr-IN"/>
        </w:rPr>
      </w:pPr>
      <w:r w:rsidRPr="006A68A4">
        <w:rPr>
          <w:rFonts w:asciiTheme="majorHAnsi" w:eastAsia="Times New Roman" w:hAnsiTheme="majorHAnsi" w:cs="Times New Roman"/>
          <w:sz w:val="24"/>
          <w:szCs w:val="24"/>
          <w:lang w:eastAsia="en-IN" w:bidi="mr-IN"/>
        </w:rPr>
        <w:t>Definition of the boundaries of social audit</w:t>
      </w:r>
    </w:p>
    <w:p w:rsidR="006A68A4" w:rsidRPr="006A68A4" w:rsidRDefault="006A68A4" w:rsidP="00AF4791">
      <w:pPr>
        <w:pStyle w:val="ListParagraph"/>
        <w:numPr>
          <w:ilvl w:val="0"/>
          <w:numId w:val="10"/>
        </w:numPr>
        <w:spacing w:after="0" w:line="264" w:lineRule="auto"/>
        <w:ind w:left="720"/>
        <w:rPr>
          <w:rFonts w:asciiTheme="majorHAnsi" w:eastAsia="Times New Roman" w:hAnsiTheme="majorHAnsi" w:cs="Times New Roman"/>
          <w:sz w:val="24"/>
          <w:szCs w:val="24"/>
          <w:lang w:eastAsia="en-IN" w:bidi="mr-IN"/>
        </w:rPr>
      </w:pPr>
      <w:r w:rsidRPr="006A68A4">
        <w:rPr>
          <w:rFonts w:asciiTheme="majorHAnsi" w:eastAsia="Times New Roman" w:hAnsiTheme="majorHAnsi" w:cs="Times New Roman"/>
          <w:sz w:val="24"/>
          <w:szCs w:val="24"/>
          <w:lang w:eastAsia="en-IN" w:bidi="mr-IN"/>
        </w:rPr>
        <w:t>Identification and consultation of stakeholders</w:t>
      </w:r>
    </w:p>
    <w:p w:rsidR="006A68A4" w:rsidRPr="006A68A4" w:rsidRDefault="006A68A4" w:rsidP="00AF4791">
      <w:pPr>
        <w:pStyle w:val="ListParagraph"/>
        <w:numPr>
          <w:ilvl w:val="0"/>
          <w:numId w:val="10"/>
        </w:numPr>
        <w:spacing w:after="0" w:line="264" w:lineRule="auto"/>
        <w:ind w:left="720"/>
        <w:rPr>
          <w:rFonts w:asciiTheme="majorHAnsi" w:eastAsia="Times New Roman" w:hAnsiTheme="majorHAnsi" w:cs="Times New Roman"/>
          <w:sz w:val="24"/>
          <w:szCs w:val="24"/>
          <w:lang w:eastAsia="en-IN" w:bidi="mr-IN"/>
        </w:rPr>
      </w:pPr>
      <w:r w:rsidRPr="006A68A4">
        <w:rPr>
          <w:rFonts w:asciiTheme="majorHAnsi" w:eastAsia="Times New Roman" w:hAnsiTheme="majorHAnsi" w:cs="Times New Roman"/>
          <w:sz w:val="24"/>
          <w:szCs w:val="24"/>
          <w:lang w:eastAsia="en-IN" w:bidi="mr-IN"/>
        </w:rPr>
        <w:t>Identification of key Issues, data collection and Analysis</w:t>
      </w:r>
    </w:p>
    <w:p w:rsidR="006A68A4" w:rsidRPr="006A68A4" w:rsidRDefault="006A68A4" w:rsidP="00AF4791">
      <w:pPr>
        <w:pStyle w:val="ListParagraph"/>
        <w:numPr>
          <w:ilvl w:val="0"/>
          <w:numId w:val="10"/>
        </w:numPr>
        <w:spacing w:after="0" w:line="264" w:lineRule="auto"/>
        <w:ind w:left="720"/>
        <w:rPr>
          <w:rFonts w:asciiTheme="majorHAnsi" w:eastAsia="Times New Roman" w:hAnsiTheme="majorHAnsi" w:cs="Times New Roman"/>
          <w:sz w:val="24"/>
          <w:szCs w:val="24"/>
          <w:lang w:eastAsia="en-IN" w:bidi="mr-IN"/>
        </w:rPr>
      </w:pPr>
      <w:r w:rsidRPr="006A68A4">
        <w:rPr>
          <w:rFonts w:asciiTheme="majorHAnsi" w:eastAsia="Times New Roman" w:hAnsiTheme="majorHAnsi" w:cs="Times New Roman"/>
          <w:sz w:val="24"/>
          <w:szCs w:val="24"/>
          <w:lang w:eastAsia="en-IN" w:bidi="mr-IN"/>
        </w:rPr>
        <w:t>Verification and report preparation</w:t>
      </w:r>
    </w:p>
    <w:p w:rsidR="006A68A4" w:rsidRPr="006A68A4" w:rsidRDefault="006A68A4" w:rsidP="00AF4791">
      <w:pPr>
        <w:pStyle w:val="ListParagraph"/>
        <w:numPr>
          <w:ilvl w:val="0"/>
          <w:numId w:val="10"/>
        </w:numPr>
        <w:spacing w:after="0" w:line="264" w:lineRule="auto"/>
        <w:ind w:left="720"/>
        <w:rPr>
          <w:rFonts w:asciiTheme="majorHAnsi" w:eastAsia="Times New Roman" w:hAnsiTheme="majorHAnsi" w:cs="Times New Roman"/>
          <w:sz w:val="24"/>
          <w:szCs w:val="24"/>
          <w:lang w:eastAsia="en-IN" w:bidi="mr-IN"/>
        </w:rPr>
      </w:pPr>
      <w:r w:rsidRPr="006A68A4">
        <w:rPr>
          <w:rFonts w:asciiTheme="majorHAnsi" w:eastAsia="Times New Roman" w:hAnsiTheme="majorHAnsi" w:cs="Times New Roman"/>
          <w:sz w:val="24"/>
          <w:szCs w:val="24"/>
          <w:lang w:eastAsia="en-IN" w:bidi="mr-IN"/>
        </w:rPr>
        <w:t>Organisation of Public Meeting</w:t>
      </w:r>
    </w:p>
    <w:p w:rsidR="006A68A4" w:rsidRPr="006A68A4" w:rsidRDefault="006A68A4" w:rsidP="00AF4791">
      <w:pPr>
        <w:pStyle w:val="ListParagraph"/>
        <w:numPr>
          <w:ilvl w:val="0"/>
          <w:numId w:val="10"/>
        </w:numPr>
        <w:spacing w:after="0" w:line="264" w:lineRule="auto"/>
        <w:ind w:left="720"/>
        <w:rPr>
          <w:rFonts w:asciiTheme="majorHAnsi" w:eastAsia="Times New Roman" w:hAnsiTheme="majorHAnsi" w:cs="Times New Roman"/>
          <w:sz w:val="24"/>
          <w:szCs w:val="24"/>
          <w:lang w:eastAsia="en-IN" w:bidi="mr-IN"/>
        </w:rPr>
      </w:pPr>
      <w:r w:rsidRPr="006A68A4">
        <w:rPr>
          <w:rFonts w:asciiTheme="majorHAnsi" w:eastAsia="Times New Roman" w:hAnsiTheme="majorHAnsi" w:cs="Times New Roman"/>
          <w:sz w:val="24"/>
          <w:szCs w:val="24"/>
          <w:lang w:eastAsia="en-IN" w:bidi="mr-IN"/>
        </w:rPr>
        <w:t>Advocacy and Institutionalisation of social audit.</w:t>
      </w:r>
    </w:p>
    <w:p w:rsidR="006A68A4" w:rsidRPr="006A68A4" w:rsidRDefault="006A68A4" w:rsidP="00AF4791">
      <w:pPr>
        <w:pStyle w:val="BodyTextIndent"/>
        <w:spacing w:line="264" w:lineRule="auto"/>
        <w:ind w:left="0"/>
        <w:contextualSpacing/>
        <w:jc w:val="both"/>
        <w:rPr>
          <w:rFonts w:asciiTheme="majorHAnsi" w:hAnsiTheme="majorHAnsi"/>
          <w:color w:val="FF0000"/>
        </w:rPr>
      </w:pPr>
    </w:p>
    <w:p w:rsidR="006A68A4" w:rsidRPr="006A68A4" w:rsidRDefault="006A68A4" w:rsidP="00AF4791">
      <w:pPr>
        <w:pStyle w:val="BodyTextIndent"/>
        <w:spacing w:line="264" w:lineRule="auto"/>
        <w:ind w:left="0"/>
        <w:contextualSpacing/>
        <w:jc w:val="both"/>
        <w:rPr>
          <w:rFonts w:asciiTheme="majorHAnsi" w:hAnsiTheme="majorHAnsi"/>
        </w:rPr>
      </w:pPr>
      <w:r w:rsidRPr="006A68A4">
        <w:rPr>
          <w:rFonts w:asciiTheme="majorHAnsi" w:hAnsiTheme="majorHAnsi"/>
        </w:rPr>
        <w:t xml:space="preserve">Examples: Brahmapur Municipal Corporation, Odisha has the social audit Mechanism for the ICDS programme. The processes of audit include development of questionnaires for different stakeholders, training 'community monitoring and Audit teams'(cMATs) on PDS, statistical analysis of the collected data and workshops and interface meetings. As a pilot project social audit have also been conducted for the urban schemes under JNNURM at Vijayawada in Andhra Pradesh and GanjBasoda in Vidushi in Madhya Pradesh. Major principles of social audit outlined include people's participation and multi perspective approach, regular and recurring activity, and sharing information. The results are yet to be highlighted in the case of JNNURM, while the case of Odisha is deemed successful. </w:t>
      </w:r>
    </w:p>
    <w:p w:rsidR="006A68A4" w:rsidRPr="006A68A4" w:rsidRDefault="006A68A4" w:rsidP="00AF4791">
      <w:pPr>
        <w:spacing w:after="0" w:line="264" w:lineRule="auto"/>
        <w:contextualSpacing/>
        <w:rPr>
          <w:rFonts w:asciiTheme="majorHAnsi" w:eastAsia="Times New Roman" w:hAnsiTheme="majorHAnsi" w:cs="Times New Roman"/>
          <w:sz w:val="24"/>
          <w:szCs w:val="24"/>
          <w:lang w:eastAsia="en-IN" w:bidi="mr-IN"/>
        </w:rPr>
      </w:pPr>
    </w:p>
    <w:p w:rsidR="00AF4791" w:rsidRDefault="00AF4791" w:rsidP="006A68A4">
      <w:pPr>
        <w:pStyle w:val="NormalWeb"/>
        <w:spacing w:line="264" w:lineRule="auto"/>
        <w:contextualSpacing/>
        <w:jc w:val="both"/>
        <w:rPr>
          <w:rFonts w:asciiTheme="majorHAnsi" w:hAnsiTheme="majorHAnsi"/>
          <w:b/>
          <w:bCs/>
        </w:rPr>
      </w:pPr>
      <w:r>
        <w:rPr>
          <w:rFonts w:asciiTheme="majorHAnsi" w:hAnsiTheme="majorHAnsi"/>
          <w:b/>
          <w:bCs/>
        </w:rPr>
        <w:t>3. Convergence</w:t>
      </w:r>
    </w:p>
    <w:p w:rsidR="00AF4791" w:rsidRDefault="00AF4791" w:rsidP="006A68A4">
      <w:pPr>
        <w:pStyle w:val="NormalWeb"/>
        <w:spacing w:line="264" w:lineRule="auto"/>
        <w:contextualSpacing/>
        <w:jc w:val="both"/>
        <w:rPr>
          <w:rFonts w:asciiTheme="majorHAnsi" w:hAnsiTheme="majorHAnsi"/>
          <w:b/>
          <w:bCs/>
        </w:rPr>
      </w:pPr>
    </w:p>
    <w:p w:rsidR="006A68A4" w:rsidRPr="00AF4791" w:rsidRDefault="00AF4791" w:rsidP="006A68A4">
      <w:pPr>
        <w:pStyle w:val="NormalWeb"/>
        <w:spacing w:line="264" w:lineRule="auto"/>
        <w:contextualSpacing/>
        <w:jc w:val="both"/>
        <w:rPr>
          <w:rFonts w:asciiTheme="majorHAnsi" w:hAnsiTheme="majorHAnsi"/>
          <w:b/>
          <w:bCs/>
        </w:rPr>
      </w:pPr>
      <w:r w:rsidRPr="00AF4791">
        <w:rPr>
          <w:rFonts w:asciiTheme="majorHAnsi" w:hAnsiTheme="majorHAnsi"/>
          <w:b/>
        </w:rPr>
        <w:t xml:space="preserve">TOR Question 3: </w:t>
      </w:r>
      <w:r w:rsidR="006A68A4" w:rsidRPr="00AF4791">
        <w:rPr>
          <w:rFonts w:asciiTheme="majorHAnsi" w:hAnsiTheme="majorHAnsi"/>
          <w:b/>
        </w:rPr>
        <w:t>What are the strategies to ensure convergence with programmes which have most vital bearing on the health of the urban poor, like water and sanitation, women and child development, labour and others?</w:t>
      </w:r>
    </w:p>
    <w:p w:rsidR="006A68A4" w:rsidRPr="00AF4791" w:rsidRDefault="006A68A4" w:rsidP="006A68A4">
      <w:pPr>
        <w:pStyle w:val="Heading1"/>
        <w:spacing w:line="264" w:lineRule="auto"/>
        <w:contextualSpacing/>
        <w:jc w:val="both"/>
        <w:rPr>
          <w:rFonts w:cs="Times New Roman"/>
          <w:color w:val="auto"/>
          <w:sz w:val="24"/>
          <w:szCs w:val="24"/>
        </w:rPr>
      </w:pPr>
      <w:r w:rsidRPr="00AF4791">
        <w:rPr>
          <w:rFonts w:cs="Times New Roman"/>
          <w:color w:val="auto"/>
          <w:sz w:val="24"/>
          <w:szCs w:val="24"/>
        </w:rPr>
        <w:t>Defining Convergence</w:t>
      </w:r>
    </w:p>
    <w:p w:rsidR="006A68A4" w:rsidRDefault="006A68A4" w:rsidP="006A68A4">
      <w:pPr>
        <w:spacing w:line="264" w:lineRule="auto"/>
        <w:contextualSpacing/>
        <w:jc w:val="both"/>
        <w:rPr>
          <w:rFonts w:asciiTheme="majorHAnsi" w:hAnsiTheme="majorHAnsi" w:cs="Times New Roman"/>
          <w:sz w:val="24"/>
          <w:szCs w:val="24"/>
        </w:rPr>
      </w:pPr>
      <w:r w:rsidRPr="006A68A4">
        <w:rPr>
          <w:rFonts w:asciiTheme="majorHAnsi" w:hAnsiTheme="majorHAnsi" w:cs="Times New Roman"/>
          <w:sz w:val="24"/>
          <w:szCs w:val="24"/>
        </w:rPr>
        <w:t xml:space="preserve">Convergence is the process of intersection of various programme, plans, schemes and departments to reach out to a specific goal. From the literatures it was clear that Convergence occurs broadly at two levels in the health sector: the policy level and the functional level. It is important that convergence occurs at the level of policy making, planning, and framing of programmes and schemes for carving out better implementation strategies. At a functional level convergence occurs at different levels. 1)At the end chain of the hierarchy through  parallel action by various players like health department staff and community health worker 2)coordinated action by different departments in provision of health services and 3)Synergistic action where the goal is defined and different </w:t>
      </w:r>
      <w:r w:rsidRPr="006A68A4">
        <w:rPr>
          <w:rFonts w:asciiTheme="majorHAnsi" w:hAnsiTheme="majorHAnsi" w:cs="Times New Roman"/>
          <w:sz w:val="24"/>
          <w:szCs w:val="24"/>
        </w:rPr>
        <w:lastRenderedPageBreak/>
        <w:t xml:space="preserve">stakeholders play significant role in achieving the goal. Various determinants that drive convergence in the urban health include prevention of malnutrition, provision of safe drinking water and sanitation, protection from occupational health hazards, and provision of better health education. A coordinated action by the women and childcare department and water and sanitation departments along with the convergence of policies and programme by the respective departments become important at this point. </w:t>
      </w:r>
    </w:p>
    <w:p w:rsidR="00AF4791" w:rsidRPr="006A68A4" w:rsidRDefault="00AF4791" w:rsidP="006A68A4">
      <w:pPr>
        <w:spacing w:line="264" w:lineRule="auto"/>
        <w:contextualSpacing/>
        <w:jc w:val="both"/>
        <w:rPr>
          <w:rFonts w:asciiTheme="majorHAnsi" w:hAnsiTheme="majorHAnsi" w:cs="Times New Roman"/>
          <w:sz w:val="24"/>
          <w:szCs w:val="24"/>
        </w:rPr>
      </w:pPr>
    </w:p>
    <w:p w:rsidR="006A68A4" w:rsidRDefault="006A68A4" w:rsidP="006A68A4">
      <w:pPr>
        <w:spacing w:line="264" w:lineRule="auto"/>
        <w:contextualSpacing/>
        <w:jc w:val="both"/>
        <w:rPr>
          <w:rFonts w:asciiTheme="majorHAnsi" w:hAnsiTheme="majorHAnsi" w:cs="Times New Roman"/>
          <w:sz w:val="24"/>
          <w:szCs w:val="24"/>
        </w:rPr>
      </w:pPr>
      <w:r w:rsidRPr="006A68A4">
        <w:rPr>
          <w:rFonts w:asciiTheme="majorHAnsi" w:hAnsiTheme="majorHAnsi" w:cs="Times New Roman"/>
          <w:sz w:val="24"/>
          <w:szCs w:val="24"/>
        </w:rPr>
        <w:t>NUHM will promote both inter Sectoral as well as intra-sectoral convergence to avoid duplication of resources and efforts. The convergent action includes:</w:t>
      </w:r>
    </w:p>
    <w:p w:rsidR="00AF4791" w:rsidRPr="006A68A4" w:rsidRDefault="00AF4791" w:rsidP="006A68A4">
      <w:pPr>
        <w:spacing w:line="264" w:lineRule="auto"/>
        <w:contextualSpacing/>
        <w:jc w:val="both"/>
        <w:rPr>
          <w:rFonts w:asciiTheme="majorHAnsi" w:hAnsiTheme="majorHAnsi" w:cs="Times New Roman"/>
          <w:sz w:val="24"/>
          <w:szCs w:val="24"/>
        </w:rPr>
      </w:pPr>
    </w:p>
    <w:p w:rsidR="006A68A4" w:rsidRPr="006A68A4" w:rsidRDefault="006A68A4" w:rsidP="006A68A4">
      <w:pPr>
        <w:numPr>
          <w:ilvl w:val="0"/>
          <w:numId w:val="11"/>
        </w:numPr>
        <w:spacing w:line="264" w:lineRule="auto"/>
        <w:contextualSpacing/>
        <w:jc w:val="both"/>
        <w:rPr>
          <w:rFonts w:asciiTheme="majorHAnsi" w:hAnsiTheme="majorHAnsi" w:cs="Times New Roman"/>
          <w:sz w:val="24"/>
          <w:szCs w:val="24"/>
        </w:rPr>
      </w:pPr>
      <w:r w:rsidRPr="006A68A4">
        <w:rPr>
          <w:rFonts w:asciiTheme="majorHAnsi" w:hAnsiTheme="majorHAnsi" w:cs="Times New Roman"/>
          <w:sz w:val="24"/>
          <w:szCs w:val="24"/>
        </w:rPr>
        <w:t>Convergence with the National Disease Control Programmes: The objective is optimal utilization of resources and ensuring availability of all services at one point. Convergence of communicable and non-communicable diseases, and other programs like RNTCP, IDSP, NVBDCP, NPCB etc.</w:t>
      </w:r>
    </w:p>
    <w:p w:rsidR="006A68A4" w:rsidRPr="006A68A4" w:rsidRDefault="006A68A4" w:rsidP="006A68A4">
      <w:pPr>
        <w:numPr>
          <w:ilvl w:val="0"/>
          <w:numId w:val="11"/>
        </w:numPr>
        <w:spacing w:line="264" w:lineRule="auto"/>
        <w:contextualSpacing/>
        <w:jc w:val="both"/>
        <w:rPr>
          <w:rFonts w:asciiTheme="majorHAnsi" w:hAnsiTheme="majorHAnsi" w:cs="Times New Roman"/>
          <w:sz w:val="24"/>
          <w:szCs w:val="24"/>
        </w:rPr>
      </w:pPr>
      <w:r w:rsidRPr="006A68A4">
        <w:rPr>
          <w:rFonts w:asciiTheme="majorHAnsi" w:hAnsiTheme="majorHAnsi" w:cs="Times New Roman"/>
          <w:sz w:val="24"/>
          <w:szCs w:val="24"/>
        </w:rPr>
        <w:t>Convergence with other departments of Ministry of Health and Family Welfare like AYUSH, AIDS Control and Health research</w:t>
      </w:r>
    </w:p>
    <w:p w:rsidR="006A68A4" w:rsidRDefault="006A68A4" w:rsidP="006A68A4">
      <w:pPr>
        <w:numPr>
          <w:ilvl w:val="0"/>
          <w:numId w:val="11"/>
        </w:numPr>
        <w:spacing w:line="264" w:lineRule="auto"/>
        <w:contextualSpacing/>
        <w:jc w:val="both"/>
        <w:rPr>
          <w:rFonts w:asciiTheme="majorHAnsi" w:hAnsiTheme="majorHAnsi" w:cs="Times New Roman"/>
          <w:sz w:val="24"/>
          <w:szCs w:val="24"/>
        </w:rPr>
      </w:pPr>
      <w:r w:rsidRPr="00AF4791">
        <w:rPr>
          <w:rFonts w:asciiTheme="majorHAnsi" w:hAnsiTheme="majorHAnsi" w:cs="Times New Roman"/>
          <w:sz w:val="24"/>
          <w:szCs w:val="24"/>
        </w:rPr>
        <w:t>Convergence with other Ministries: Ministry of Urban Development, Housing and Poverty Alleviation under which the convergence is envisaged for JNNURM, SJSRY, RAY, NERUDP etc. Ministry of Women and child Development, Ministry of Human Resource Development (School health programme, adolescent reproductive and sexual health)., Ministry of Minority Affairs(Multi sectoral development programme).  Other areas of Synergy include MPLADS and CSR.</w:t>
      </w:r>
    </w:p>
    <w:p w:rsidR="00AF4791" w:rsidRPr="00AF4791" w:rsidRDefault="00AF4791" w:rsidP="00AF4791">
      <w:pPr>
        <w:spacing w:line="264" w:lineRule="auto"/>
        <w:ind w:left="720"/>
        <w:contextualSpacing/>
        <w:jc w:val="both"/>
        <w:rPr>
          <w:rFonts w:asciiTheme="majorHAnsi" w:hAnsiTheme="majorHAnsi" w:cs="Times New Roman"/>
          <w:sz w:val="24"/>
          <w:szCs w:val="24"/>
        </w:rPr>
      </w:pPr>
    </w:p>
    <w:p w:rsidR="006A68A4" w:rsidRPr="006A68A4" w:rsidRDefault="006A68A4" w:rsidP="006A68A4">
      <w:pPr>
        <w:spacing w:line="264" w:lineRule="auto"/>
        <w:contextualSpacing/>
        <w:jc w:val="both"/>
        <w:rPr>
          <w:rFonts w:asciiTheme="majorHAnsi" w:hAnsiTheme="majorHAnsi" w:cs="Times New Roman"/>
          <w:b/>
          <w:bCs/>
          <w:sz w:val="24"/>
          <w:szCs w:val="24"/>
        </w:rPr>
      </w:pPr>
      <w:r w:rsidRPr="006A68A4">
        <w:rPr>
          <w:rFonts w:asciiTheme="majorHAnsi" w:hAnsiTheme="majorHAnsi" w:cs="Times New Roman"/>
          <w:b/>
          <w:bCs/>
          <w:sz w:val="24"/>
          <w:szCs w:val="24"/>
        </w:rPr>
        <w:t xml:space="preserve">Examples of Convergence: </w:t>
      </w:r>
    </w:p>
    <w:p w:rsidR="006A68A4" w:rsidRPr="006A68A4" w:rsidRDefault="006A68A4" w:rsidP="006A68A4">
      <w:pPr>
        <w:spacing w:line="264" w:lineRule="auto"/>
        <w:contextualSpacing/>
        <w:jc w:val="both"/>
        <w:rPr>
          <w:rFonts w:asciiTheme="majorHAnsi" w:hAnsiTheme="majorHAnsi" w:cs="Times New Roman"/>
          <w:sz w:val="24"/>
          <w:szCs w:val="24"/>
        </w:rPr>
      </w:pPr>
      <w:r w:rsidRPr="006A68A4">
        <w:rPr>
          <w:rFonts w:asciiTheme="majorHAnsi" w:hAnsiTheme="majorHAnsi" w:cs="Times New Roman"/>
          <w:sz w:val="24"/>
          <w:szCs w:val="24"/>
        </w:rPr>
        <w:t xml:space="preserve">Mission convergence in Delhi is an example for the convergence of various programmes towards a goal of urban health. For the purpose, Government of Delhi created </w:t>
      </w:r>
      <w:r w:rsidRPr="006A68A4">
        <w:rPr>
          <w:rFonts w:asciiTheme="majorHAnsi" w:hAnsiTheme="majorHAnsi" w:cs="Times New Roman"/>
          <w:i/>
          <w:iCs/>
          <w:sz w:val="24"/>
          <w:szCs w:val="24"/>
        </w:rPr>
        <w:t>SamajikSuvidhaSangam</w:t>
      </w:r>
      <w:r w:rsidRPr="006A68A4">
        <w:rPr>
          <w:rFonts w:asciiTheme="majorHAnsi" w:hAnsiTheme="majorHAnsi" w:cs="Times New Roman"/>
          <w:sz w:val="24"/>
          <w:szCs w:val="24"/>
        </w:rPr>
        <w:t>, registered as a society for effective implementation of the objectives of Mission Convergence.  The mission's objectives include the expansion of health services to all targeted communities, strengthening the database of the urban poor to ensure their participation, incentivizing the service delivery and development of IT enabled MIS system for systematic monitoring.  Major innovations for the mission occurred at the i) institutional (</w:t>
      </w:r>
      <w:r w:rsidRPr="006A68A4">
        <w:rPr>
          <w:rFonts w:asciiTheme="majorHAnsi" w:hAnsiTheme="majorHAnsi" w:cs="Times New Roman"/>
          <w:i/>
          <w:iCs/>
          <w:sz w:val="24"/>
          <w:szCs w:val="24"/>
        </w:rPr>
        <w:t>SamajikSuvidha Kendra</w:t>
      </w:r>
      <w:r w:rsidRPr="006A68A4">
        <w:rPr>
          <w:rFonts w:asciiTheme="majorHAnsi" w:hAnsiTheme="majorHAnsi" w:cs="Times New Roman"/>
          <w:sz w:val="24"/>
          <w:szCs w:val="24"/>
        </w:rPr>
        <w:t>) and administrative level (district machinery- district convergence forum), level where the facilitating structures are strengthened, ii) governance initiatives -to address the issues with lack of transparency, lack of information and duplication of efforts etc. a computerized uniform database is maintained, and iii) monitoring and evaluation of the programme.</w:t>
      </w:r>
    </w:p>
    <w:p w:rsidR="006A68A4" w:rsidRPr="006A68A4" w:rsidRDefault="006A68A4" w:rsidP="006A68A4">
      <w:pPr>
        <w:spacing w:line="264" w:lineRule="auto"/>
        <w:contextualSpacing/>
        <w:jc w:val="both"/>
        <w:rPr>
          <w:rFonts w:asciiTheme="majorHAnsi" w:hAnsiTheme="majorHAnsi" w:cs="Times New Roman"/>
          <w:sz w:val="24"/>
          <w:szCs w:val="24"/>
        </w:rPr>
      </w:pPr>
    </w:p>
    <w:p w:rsidR="006A68A4" w:rsidRDefault="006A68A4" w:rsidP="006A68A4">
      <w:pPr>
        <w:spacing w:line="264" w:lineRule="auto"/>
        <w:contextualSpacing/>
        <w:jc w:val="both"/>
        <w:rPr>
          <w:rFonts w:asciiTheme="majorHAnsi" w:hAnsiTheme="majorHAnsi" w:cs="Times New Roman"/>
          <w:sz w:val="24"/>
          <w:szCs w:val="24"/>
        </w:rPr>
      </w:pPr>
      <w:r w:rsidRPr="006A68A4">
        <w:rPr>
          <w:rFonts w:asciiTheme="majorHAnsi" w:hAnsiTheme="majorHAnsi" w:cs="Times New Roman"/>
          <w:sz w:val="24"/>
          <w:szCs w:val="24"/>
        </w:rPr>
        <w:t xml:space="preserve">The Health of the Urban Poor Project (HUP) by PFI has also emphasized much on the convergence of various programme and departments to improve the provision of urban health services. Convergence of various programmes, implemented by departments like Urban Development, Health and Family Welfare, Women and Child Development, and </w:t>
      </w:r>
      <w:r w:rsidRPr="006A68A4">
        <w:rPr>
          <w:rFonts w:asciiTheme="majorHAnsi" w:hAnsiTheme="majorHAnsi" w:cs="Times New Roman"/>
          <w:sz w:val="24"/>
          <w:szCs w:val="24"/>
        </w:rPr>
        <w:lastRenderedPageBreak/>
        <w:t>Water and Sanitation are primary taken into consideration by the group. While Mission convergence is an example of the institutionally maintained convergence strategy, the HUP project is an example of collaboration and partnerships between organizations with varied competencies and strengths.</w:t>
      </w:r>
    </w:p>
    <w:p w:rsidR="0036143A" w:rsidRPr="006A68A4" w:rsidRDefault="0036143A" w:rsidP="006A68A4">
      <w:pPr>
        <w:spacing w:line="264" w:lineRule="auto"/>
        <w:contextualSpacing/>
        <w:jc w:val="both"/>
        <w:rPr>
          <w:rFonts w:asciiTheme="majorHAnsi" w:hAnsiTheme="majorHAnsi" w:cs="Times New Roman"/>
          <w:sz w:val="24"/>
          <w:szCs w:val="24"/>
        </w:rPr>
      </w:pPr>
    </w:p>
    <w:p w:rsidR="006A68A4" w:rsidRDefault="006A68A4" w:rsidP="006A68A4">
      <w:pPr>
        <w:spacing w:line="264" w:lineRule="auto"/>
        <w:contextualSpacing/>
        <w:jc w:val="both"/>
        <w:rPr>
          <w:rFonts w:asciiTheme="majorHAnsi" w:hAnsiTheme="majorHAnsi" w:cs="Times New Roman"/>
          <w:sz w:val="24"/>
          <w:szCs w:val="24"/>
        </w:rPr>
      </w:pPr>
      <w:r w:rsidRPr="006A68A4">
        <w:rPr>
          <w:rFonts w:asciiTheme="majorHAnsi" w:hAnsiTheme="majorHAnsi" w:cs="Times New Roman"/>
          <w:sz w:val="24"/>
          <w:szCs w:val="24"/>
        </w:rPr>
        <w:t xml:space="preserve">Both these projects tackle only the aspect of institutional health service delivery. Health of urban poor however is dependent also on the immediate physical environment. Therefore, convergence of different programmes pertaining to housing and sanitation with health system becomes necessary. Convergence between programmes like JNNURM and NUHM therefore need particular attention. </w:t>
      </w:r>
    </w:p>
    <w:p w:rsidR="0036143A" w:rsidRPr="006A68A4" w:rsidRDefault="0036143A" w:rsidP="006A68A4">
      <w:pPr>
        <w:spacing w:line="264" w:lineRule="auto"/>
        <w:contextualSpacing/>
        <w:jc w:val="both"/>
        <w:rPr>
          <w:rFonts w:asciiTheme="majorHAnsi" w:hAnsiTheme="majorHAnsi" w:cs="Times New Roman"/>
          <w:sz w:val="24"/>
          <w:szCs w:val="24"/>
        </w:rPr>
      </w:pPr>
    </w:p>
    <w:p w:rsidR="0036143A" w:rsidRPr="006A68A4" w:rsidRDefault="006A68A4" w:rsidP="006A68A4">
      <w:pPr>
        <w:spacing w:line="264" w:lineRule="auto"/>
        <w:contextualSpacing/>
        <w:jc w:val="both"/>
        <w:rPr>
          <w:rFonts w:asciiTheme="majorHAnsi" w:hAnsiTheme="majorHAnsi" w:cs="Times New Roman"/>
          <w:b/>
          <w:bCs/>
          <w:sz w:val="24"/>
          <w:szCs w:val="24"/>
        </w:rPr>
      </w:pPr>
      <w:r w:rsidRPr="006A68A4">
        <w:rPr>
          <w:rFonts w:asciiTheme="majorHAnsi" w:hAnsiTheme="majorHAnsi" w:cs="Times New Roman"/>
          <w:b/>
          <w:bCs/>
          <w:sz w:val="24"/>
          <w:szCs w:val="24"/>
        </w:rPr>
        <w:t>JNNURM and Health Service Provisio</w:t>
      </w:r>
      <w:r w:rsidR="0036143A">
        <w:rPr>
          <w:rFonts w:asciiTheme="majorHAnsi" w:hAnsiTheme="majorHAnsi" w:cs="Times New Roman"/>
          <w:b/>
          <w:bCs/>
          <w:sz w:val="24"/>
          <w:szCs w:val="24"/>
        </w:rPr>
        <w:t>n</w:t>
      </w:r>
    </w:p>
    <w:p w:rsidR="006A68A4" w:rsidRPr="006A68A4" w:rsidRDefault="006A68A4" w:rsidP="006A68A4">
      <w:pPr>
        <w:spacing w:line="264" w:lineRule="auto"/>
        <w:contextualSpacing/>
        <w:jc w:val="both"/>
        <w:rPr>
          <w:rFonts w:asciiTheme="majorHAnsi" w:hAnsiTheme="majorHAnsi" w:cs="Times New Roman"/>
          <w:sz w:val="24"/>
          <w:szCs w:val="24"/>
        </w:rPr>
      </w:pPr>
      <w:r w:rsidRPr="006A68A4">
        <w:rPr>
          <w:rFonts w:asciiTheme="majorHAnsi" w:hAnsiTheme="majorHAnsi" w:cs="Times New Roman"/>
          <w:sz w:val="24"/>
          <w:szCs w:val="24"/>
        </w:rPr>
        <w:t xml:space="preserve">Health of a person is dependent largely upon the immediate environment in which the person is put up. The relationship between unsanitary conditions and communicable diseases are well known/documented.  In the urban slums, unsanitary/unhealthy environment and the social and economic conditions of the poor are major challenges towards attaining better health standards. In this regard the mission emphasizes on a framework for pro-active partnership with NGOs/civil society groups for strengthening the preventive and promotive actions at the community level. Also various programme and schemes which have most vital bearing on the health of the urban poor at the national, state and local level intersect to ensure better health. Therefore, intersection between JNNURM and NUHM gains primary significance. JNNURM focuses on integrated development of urban infrastructure and services including housing, water supply, sanitation, transport and development of inner old city areas.  The city development plans, prepared by JNNURM, would be modified after taking into consideration the objectives of NUHM thereby ensuring convergence between the two programmes. The physical and GIS based mapping of slums which is proposed to be done under JNNURM can also be used for NUHM. Also the MahilaArogyaSamitis can be incorporated into various JNNURM programmes.   </w:t>
      </w:r>
    </w:p>
    <w:p w:rsidR="006A68A4" w:rsidRPr="006A68A4" w:rsidRDefault="006A68A4" w:rsidP="006A68A4">
      <w:pPr>
        <w:pStyle w:val="BodyText"/>
        <w:spacing w:line="264" w:lineRule="auto"/>
        <w:contextualSpacing/>
        <w:rPr>
          <w:rFonts w:asciiTheme="majorHAnsi" w:hAnsiTheme="majorHAnsi" w:cs="Times New Roman"/>
          <w:sz w:val="24"/>
          <w:szCs w:val="24"/>
        </w:rPr>
      </w:pPr>
      <w:r w:rsidRPr="006A68A4">
        <w:rPr>
          <w:rFonts w:asciiTheme="majorHAnsi" w:hAnsiTheme="majorHAnsi" w:cs="Times New Roman"/>
          <w:sz w:val="24"/>
          <w:szCs w:val="24"/>
        </w:rPr>
        <w:t xml:space="preserve">Two examples of convergence in slum upgradation project in the urban areas are Pune Municipal Corporation and Surat Municipal Corporation. The Pune municipal corporation through participatory approach by providing an alternative housing solution in densely populated urban slums sets out a good example. PMC came up with a progressive and people-centric model of slum upgradation which enables the locals to have houses with all the basic amenities in their own settlements.  Civil society organisations were involved in implementing the project. "The Society for the Promotion of Area Resource Centres (SPARC) in association with Mahila Milan, National Slum Dwellers Federation (NSDF) and CHF-International undertook the responsibility of conducting biometric and socioeconomic survey of the slums, appointing architects, monitoring construction process, and devising financial strategies and ensuring effective community participation and equitable </w:t>
      </w:r>
      <w:r w:rsidRPr="006A68A4">
        <w:rPr>
          <w:rFonts w:asciiTheme="majorHAnsi" w:hAnsiTheme="majorHAnsi" w:cs="Times New Roman"/>
          <w:sz w:val="24"/>
          <w:szCs w:val="24"/>
        </w:rPr>
        <w:lastRenderedPageBreak/>
        <w:t xml:space="preserve">distribution of resources". Mahila Milan was successful in design building and management of toilet blocks in Pune. </w:t>
      </w:r>
    </w:p>
    <w:p w:rsidR="006A68A4" w:rsidRDefault="0036143A" w:rsidP="006A68A4">
      <w:pPr>
        <w:spacing w:line="264" w:lineRule="auto"/>
        <w:contextualSpacing/>
        <w:jc w:val="both"/>
        <w:rPr>
          <w:rFonts w:asciiTheme="majorHAnsi" w:hAnsiTheme="majorHAnsi" w:cs="Times New Roman"/>
          <w:b/>
          <w:bCs/>
          <w:sz w:val="24"/>
          <w:szCs w:val="24"/>
        </w:rPr>
      </w:pPr>
      <w:r>
        <w:rPr>
          <w:rFonts w:asciiTheme="majorHAnsi" w:hAnsiTheme="majorHAnsi" w:cs="Times New Roman"/>
          <w:b/>
          <w:bCs/>
          <w:sz w:val="24"/>
          <w:szCs w:val="24"/>
        </w:rPr>
        <w:t>4. Grievance Redressal</w:t>
      </w:r>
    </w:p>
    <w:p w:rsidR="0036143A" w:rsidRPr="006A68A4" w:rsidRDefault="0036143A" w:rsidP="006A68A4">
      <w:pPr>
        <w:spacing w:line="264" w:lineRule="auto"/>
        <w:contextualSpacing/>
        <w:jc w:val="both"/>
        <w:rPr>
          <w:rFonts w:asciiTheme="majorHAnsi" w:hAnsiTheme="majorHAnsi" w:cs="Times New Roman"/>
          <w:b/>
          <w:bCs/>
          <w:sz w:val="24"/>
          <w:szCs w:val="24"/>
        </w:rPr>
      </w:pPr>
    </w:p>
    <w:p w:rsidR="006A68A4" w:rsidRPr="0036143A" w:rsidRDefault="0036143A" w:rsidP="006A68A4">
      <w:pPr>
        <w:spacing w:line="264" w:lineRule="auto"/>
        <w:contextualSpacing/>
        <w:jc w:val="both"/>
        <w:rPr>
          <w:rFonts w:asciiTheme="majorHAnsi" w:hAnsiTheme="majorHAnsi" w:cs="Times New Roman"/>
          <w:b/>
          <w:sz w:val="24"/>
          <w:szCs w:val="24"/>
        </w:rPr>
      </w:pPr>
      <w:r w:rsidRPr="0036143A">
        <w:rPr>
          <w:rFonts w:asciiTheme="majorHAnsi" w:hAnsiTheme="majorHAnsi" w:cs="Times New Roman"/>
          <w:b/>
          <w:bCs/>
          <w:sz w:val="24"/>
          <w:szCs w:val="24"/>
        </w:rPr>
        <w:t>TOR Question 4: W</w:t>
      </w:r>
      <w:r w:rsidR="006A68A4" w:rsidRPr="0036143A">
        <w:rPr>
          <w:rFonts w:asciiTheme="majorHAnsi" w:hAnsiTheme="majorHAnsi" w:cs="Times New Roman"/>
          <w:b/>
          <w:sz w:val="24"/>
          <w:szCs w:val="24"/>
        </w:rPr>
        <w:t>hat will be the systems and arrangements for effective grievance redress?</w:t>
      </w:r>
    </w:p>
    <w:p w:rsidR="0036143A" w:rsidRPr="006A68A4" w:rsidRDefault="0036143A" w:rsidP="006A68A4">
      <w:pPr>
        <w:spacing w:line="264" w:lineRule="auto"/>
        <w:contextualSpacing/>
        <w:jc w:val="both"/>
        <w:rPr>
          <w:rFonts w:asciiTheme="majorHAnsi" w:hAnsiTheme="majorHAnsi" w:cs="Times New Roman"/>
          <w:b/>
          <w:bCs/>
          <w:sz w:val="24"/>
          <w:szCs w:val="24"/>
        </w:rPr>
      </w:pPr>
    </w:p>
    <w:p w:rsidR="006A68A4" w:rsidRDefault="006A68A4" w:rsidP="006A68A4">
      <w:pPr>
        <w:spacing w:line="264" w:lineRule="auto"/>
        <w:contextualSpacing/>
        <w:jc w:val="both"/>
        <w:rPr>
          <w:rFonts w:asciiTheme="majorHAnsi" w:hAnsiTheme="majorHAnsi" w:cs="Times New Roman"/>
          <w:sz w:val="24"/>
          <w:szCs w:val="24"/>
        </w:rPr>
      </w:pPr>
      <w:r w:rsidRPr="006A68A4">
        <w:rPr>
          <w:rFonts w:asciiTheme="majorHAnsi" w:hAnsiTheme="majorHAnsi" w:cs="Times New Roman"/>
          <w:sz w:val="24"/>
          <w:szCs w:val="24"/>
        </w:rPr>
        <w:t xml:space="preserve">For any policy to be democratically driven, an opportunity for registering complaints and a grievance redressal mechanism is important. Few urban local bodies that have effectively put in place grievance redressal mechanisms in India include: </w:t>
      </w:r>
    </w:p>
    <w:p w:rsidR="0036143A" w:rsidRPr="006A68A4" w:rsidRDefault="0036143A" w:rsidP="006A68A4">
      <w:pPr>
        <w:spacing w:line="264" w:lineRule="auto"/>
        <w:contextualSpacing/>
        <w:jc w:val="both"/>
        <w:rPr>
          <w:rFonts w:asciiTheme="majorHAnsi" w:hAnsiTheme="majorHAnsi" w:cs="Times New Roman"/>
          <w:sz w:val="24"/>
          <w:szCs w:val="24"/>
        </w:rPr>
      </w:pPr>
    </w:p>
    <w:p w:rsidR="0036143A" w:rsidRDefault="006A68A4" w:rsidP="0036143A">
      <w:pPr>
        <w:pStyle w:val="ListParagraph"/>
        <w:numPr>
          <w:ilvl w:val="0"/>
          <w:numId w:val="27"/>
        </w:numPr>
        <w:spacing w:line="264" w:lineRule="auto"/>
        <w:jc w:val="both"/>
        <w:rPr>
          <w:rFonts w:asciiTheme="majorHAnsi" w:hAnsiTheme="majorHAnsi" w:cs="Times New Roman"/>
          <w:sz w:val="24"/>
          <w:szCs w:val="24"/>
        </w:rPr>
      </w:pPr>
      <w:r w:rsidRPr="0036143A">
        <w:rPr>
          <w:rFonts w:asciiTheme="majorHAnsi" w:hAnsiTheme="majorHAnsi" w:cs="Times New Roman"/>
          <w:sz w:val="24"/>
          <w:szCs w:val="24"/>
        </w:rPr>
        <w:t xml:space="preserve">Ahmedabad Municipal Corporation: Online system of complaint registration which is not widely followed. A manual mechanism has been introduced in which ward wise helpline system is in place.  A New system called </w:t>
      </w:r>
      <w:r w:rsidRPr="0036143A">
        <w:rPr>
          <w:rFonts w:asciiTheme="majorHAnsi" w:hAnsiTheme="majorHAnsi" w:cs="Times New Roman"/>
          <w:b/>
          <w:bCs/>
          <w:i/>
          <w:iCs/>
          <w:sz w:val="24"/>
          <w:szCs w:val="24"/>
        </w:rPr>
        <w:t>Jansuvidha</w:t>
      </w:r>
      <w:r w:rsidRPr="0036143A">
        <w:rPr>
          <w:rFonts w:asciiTheme="majorHAnsi" w:hAnsiTheme="majorHAnsi" w:cs="Times New Roman"/>
          <w:sz w:val="24"/>
          <w:szCs w:val="24"/>
        </w:rPr>
        <w:t xml:space="preserve">has been started on 2008. A Key Drawback of the AMC is there is no mechanism to seek customer feedback once the complaint is resolved. Also existence of multiple avenues for lodging complaints makes the process complicated for monitoring and reporting. </w:t>
      </w:r>
    </w:p>
    <w:p w:rsidR="0036143A" w:rsidRPr="0036143A" w:rsidRDefault="0036143A" w:rsidP="0036143A">
      <w:pPr>
        <w:pStyle w:val="ListParagraph"/>
        <w:spacing w:line="264" w:lineRule="auto"/>
        <w:ind w:left="765"/>
        <w:jc w:val="both"/>
        <w:rPr>
          <w:rFonts w:asciiTheme="majorHAnsi" w:hAnsiTheme="majorHAnsi" w:cs="Times New Roman"/>
          <w:sz w:val="24"/>
          <w:szCs w:val="24"/>
        </w:rPr>
      </w:pPr>
    </w:p>
    <w:p w:rsidR="0036143A" w:rsidRDefault="006A68A4" w:rsidP="006A68A4">
      <w:pPr>
        <w:pStyle w:val="ListParagraph"/>
        <w:numPr>
          <w:ilvl w:val="0"/>
          <w:numId w:val="27"/>
        </w:numPr>
        <w:spacing w:line="264" w:lineRule="auto"/>
        <w:jc w:val="both"/>
        <w:rPr>
          <w:rFonts w:asciiTheme="majorHAnsi" w:hAnsiTheme="majorHAnsi" w:cs="Times New Roman"/>
          <w:sz w:val="24"/>
          <w:szCs w:val="24"/>
        </w:rPr>
      </w:pPr>
      <w:r w:rsidRPr="0036143A">
        <w:rPr>
          <w:rFonts w:asciiTheme="majorHAnsi" w:hAnsiTheme="majorHAnsi" w:cs="Times New Roman"/>
          <w:sz w:val="24"/>
          <w:szCs w:val="24"/>
        </w:rPr>
        <w:t xml:space="preserve">Raipur Municipal Corporation does not have a structured complaint handling mechanism. RMC provides single windows (EkalKhidkiPranali), where complaints are written in a register. There are no dedicated helpline numbers and people have to visit the office to register any complaint. A key obstacle to a more structured and organised complaint handling process is the lack of skilled personnel in RMC. More over there </w:t>
      </w:r>
      <w:r w:rsidR="0036143A" w:rsidRPr="0036143A">
        <w:rPr>
          <w:rFonts w:asciiTheme="majorHAnsi" w:hAnsiTheme="majorHAnsi" w:cs="Times New Roman"/>
          <w:sz w:val="24"/>
          <w:szCs w:val="24"/>
        </w:rPr>
        <w:t>is no customer feedback system.</w:t>
      </w:r>
    </w:p>
    <w:p w:rsidR="0036143A" w:rsidRPr="0036143A" w:rsidRDefault="0036143A" w:rsidP="0036143A">
      <w:pPr>
        <w:pStyle w:val="ListParagraph"/>
        <w:rPr>
          <w:rFonts w:asciiTheme="majorHAnsi" w:hAnsiTheme="majorHAnsi" w:cs="Times New Roman"/>
          <w:sz w:val="24"/>
          <w:szCs w:val="24"/>
        </w:rPr>
      </w:pPr>
    </w:p>
    <w:p w:rsidR="005B2AC6" w:rsidRDefault="006A68A4" w:rsidP="006A68A4">
      <w:pPr>
        <w:pStyle w:val="ListParagraph"/>
        <w:numPr>
          <w:ilvl w:val="0"/>
          <w:numId w:val="27"/>
        </w:numPr>
        <w:spacing w:line="264" w:lineRule="auto"/>
        <w:jc w:val="both"/>
        <w:rPr>
          <w:rFonts w:asciiTheme="majorHAnsi" w:hAnsiTheme="majorHAnsi" w:cs="Times New Roman"/>
          <w:sz w:val="24"/>
          <w:szCs w:val="24"/>
        </w:rPr>
      </w:pPr>
      <w:r w:rsidRPr="005B2AC6">
        <w:rPr>
          <w:rFonts w:asciiTheme="majorHAnsi" w:hAnsiTheme="majorHAnsi" w:cs="Times New Roman"/>
          <w:sz w:val="24"/>
          <w:szCs w:val="24"/>
        </w:rPr>
        <w:t>BruhatBangaluruMahanagaraPalika(BBMP): introduced 24*7 helpline for grievance registration(Centralised Call centres). In addition to this citizens can use SMS, online registration etc. to lodge a complaint. The complaint management system in Bangalore is structured and Robust with Powerful built in reporting and monitoring tools. BBMP also scans the leading newspapers for complaints and address them.</w:t>
      </w:r>
    </w:p>
    <w:p w:rsidR="005B2AC6" w:rsidRPr="005B2AC6" w:rsidRDefault="005B2AC6" w:rsidP="005B2AC6">
      <w:pPr>
        <w:pStyle w:val="ListParagraph"/>
        <w:rPr>
          <w:rFonts w:asciiTheme="majorHAnsi" w:hAnsiTheme="majorHAnsi" w:cs="Times New Roman"/>
          <w:sz w:val="24"/>
          <w:szCs w:val="24"/>
        </w:rPr>
      </w:pPr>
    </w:p>
    <w:p w:rsidR="00591563" w:rsidRDefault="006A68A4" w:rsidP="006A68A4">
      <w:pPr>
        <w:pStyle w:val="ListParagraph"/>
        <w:numPr>
          <w:ilvl w:val="0"/>
          <w:numId w:val="27"/>
        </w:numPr>
        <w:spacing w:line="264" w:lineRule="auto"/>
        <w:jc w:val="both"/>
        <w:rPr>
          <w:rFonts w:asciiTheme="majorHAnsi" w:hAnsiTheme="majorHAnsi" w:cs="Times New Roman"/>
          <w:sz w:val="24"/>
          <w:szCs w:val="24"/>
        </w:rPr>
      </w:pPr>
      <w:r w:rsidRPr="00591563">
        <w:rPr>
          <w:rFonts w:asciiTheme="majorHAnsi" w:hAnsiTheme="majorHAnsi" w:cs="Times New Roman"/>
          <w:sz w:val="24"/>
          <w:szCs w:val="24"/>
        </w:rPr>
        <w:t xml:space="preserve">Mysore City Corporation: adopted Public Grievance Redressal Module along with other 56 cities in Karnataka. Citizens can lodge their complaints through phone, internet, paper applications or SMS. Complaints are registered under two categories: Category A and Category B. The complaints under category A are to be addressed within 24 hrs and those in category B are to be addressed in a week. Recently MCC has introduced a SMS Integrated System. </w:t>
      </w:r>
    </w:p>
    <w:p w:rsidR="00591563" w:rsidRPr="00591563" w:rsidRDefault="00591563" w:rsidP="00591563">
      <w:pPr>
        <w:pStyle w:val="ListParagraph"/>
        <w:rPr>
          <w:rFonts w:asciiTheme="majorHAnsi" w:hAnsiTheme="majorHAnsi" w:cs="Times New Roman"/>
          <w:sz w:val="24"/>
          <w:szCs w:val="24"/>
        </w:rPr>
      </w:pPr>
    </w:p>
    <w:p w:rsidR="00591563" w:rsidRPr="00591563" w:rsidRDefault="006A68A4" w:rsidP="00591563">
      <w:pPr>
        <w:pStyle w:val="ListParagraph"/>
        <w:numPr>
          <w:ilvl w:val="0"/>
          <w:numId w:val="27"/>
        </w:numPr>
        <w:spacing w:line="264" w:lineRule="auto"/>
        <w:jc w:val="both"/>
        <w:rPr>
          <w:rFonts w:asciiTheme="majorHAnsi" w:hAnsiTheme="majorHAnsi" w:cs="Times New Roman"/>
          <w:sz w:val="24"/>
          <w:szCs w:val="24"/>
        </w:rPr>
      </w:pPr>
      <w:r w:rsidRPr="00591563">
        <w:rPr>
          <w:rFonts w:asciiTheme="majorHAnsi" w:hAnsiTheme="majorHAnsi" w:cs="Times New Roman"/>
          <w:sz w:val="24"/>
          <w:szCs w:val="24"/>
        </w:rPr>
        <w:t xml:space="preserve">Surat Municipal Corporation introduced automated complaint lodging and monitoring system. The system is supported in Hindi, English and Gujarati. Citizens </w:t>
      </w:r>
      <w:r w:rsidRPr="00591563">
        <w:rPr>
          <w:rFonts w:asciiTheme="majorHAnsi" w:hAnsiTheme="majorHAnsi" w:cs="Times New Roman"/>
          <w:sz w:val="24"/>
          <w:szCs w:val="24"/>
        </w:rPr>
        <w:lastRenderedPageBreak/>
        <w:t xml:space="preserve">can register complaints through email, fax, post or written complaint. On lodging the complaint a Ticket number is allotted and then send to different departments. Also a centralised data base is created of the complaints. Registered complaints are categorised on the basis of Emergency, High priority, medium and low priority complaints and treated accordingly. The complainant is issued a white card or red card. The white card is issued for complaints related to public health department which need to be addressed in 28-48 hrs and a red card for the cases related to engineering and sanitation.  </w:t>
      </w:r>
    </w:p>
    <w:p w:rsidR="006A68A4" w:rsidRDefault="00591563" w:rsidP="006A68A4">
      <w:pPr>
        <w:spacing w:line="264" w:lineRule="auto"/>
        <w:contextualSpacing/>
        <w:jc w:val="both"/>
        <w:rPr>
          <w:rFonts w:asciiTheme="majorHAnsi" w:hAnsiTheme="majorHAnsi" w:cs="Times New Roman"/>
          <w:b/>
          <w:bCs/>
          <w:sz w:val="24"/>
          <w:szCs w:val="24"/>
        </w:rPr>
      </w:pPr>
      <w:r>
        <w:rPr>
          <w:rFonts w:asciiTheme="majorHAnsi" w:hAnsiTheme="majorHAnsi" w:cs="Times New Roman"/>
          <w:b/>
          <w:bCs/>
          <w:sz w:val="24"/>
          <w:szCs w:val="24"/>
        </w:rPr>
        <w:t>Conclusion</w:t>
      </w:r>
    </w:p>
    <w:p w:rsidR="00591563" w:rsidRPr="006A68A4" w:rsidRDefault="00591563" w:rsidP="006A68A4">
      <w:pPr>
        <w:spacing w:line="264" w:lineRule="auto"/>
        <w:contextualSpacing/>
        <w:jc w:val="both"/>
        <w:rPr>
          <w:rFonts w:asciiTheme="majorHAnsi" w:hAnsiTheme="majorHAnsi" w:cs="Times New Roman"/>
          <w:b/>
          <w:bCs/>
          <w:sz w:val="24"/>
          <w:szCs w:val="24"/>
        </w:rPr>
      </w:pPr>
    </w:p>
    <w:p w:rsidR="006A68A4" w:rsidRPr="006A68A4" w:rsidRDefault="006A68A4" w:rsidP="006A68A4">
      <w:pPr>
        <w:spacing w:line="264" w:lineRule="auto"/>
        <w:contextualSpacing/>
        <w:jc w:val="both"/>
        <w:rPr>
          <w:rFonts w:asciiTheme="majorHAnsi" w:hAnsiTheme="majorHAnsi" w:cs="Times New Roman"/>
          <w:sz w:val="24"/>
          <w:szCs w:val="24"/>
        </w:rPr>
      </w:pPr>
      <w:r w:rsidRPr="006A68A4">
        <w:rPr>
          <w:rFonts w:asciiTheme="majorHAnsi" w:hAnsiTheme="majorHAnsi" w:cs="Times New Roman"/>
          <w:sz w:val="24"/>
          <w:szCs w:val="24"/>
        </w:rPr>
        <w:t xml:space="preserve">With the help of the existing examples from urban centres of India, the concept note set out to examine various aspects of NUHM like community Participation, social audit, convergence and grievance redressal. Discussion of community participation mainly revolved around the link worker programme and self-help groups. It was found that ambiguities still exist with regard to the prospects of implementation of link worker programme in urban areas. In the case of self-help groups, often the poor are supported to find self-employment in sanitation and other development activities but restricting to the better serviced areas. This has a negative impact on the sanitation drive of the poor localities which needs attention. Social audit is still in an embryonic stage in the urban centres. Convergence is a significant factor to reduce duplication of effort and optimal utilization of the resources. Better convergence strategies need to be carved out in the planning stage, lack of which can complicate the mission objectives and affect the effective implementation. Grievance redressal mechanisms have good examples from across the country which can be understood in detail to come up with a better design of grievance redressal. </w:t>
      </w:r>
    </w:p>
    <w:p w:rsidR="006A68A4" w:rsidRPr="006A68A4" w:rsidRDefault="006A68A4" w:rsidP="006A68A4">
      <w:pPr>
        <w:spacing w:line="264" w:lineRule="auto"/>
        <w:contextualSpacing/>
        <w:jc w:val="both"/>
        <w:rPr>
          <w:rFonts w:asciiTheme="majorHAnsi" w:hAnsiTheme="majorHAnsi" w:cs="Times New Roman"/>
          <w:sz w:val="24"/>
          <w:szCs w:val="24"/>
        </w:rPr>
      </w:pPr>
    </w:p>
    <w:p w:rsidR="006A68A4" w:rsidRPr="006A68A4" w:rsidRDefault="006A68A4" w:rsidP="006A68A4">
      <w:pPr>
        <w:spacing w:line="264" w:lineRule="auto"/>
        <w:contextualSpacing/>
        <w:jc w:val="both"/>
        <w:rPr>
          <w:rFonts w:asciiTheme="majorHAnsi" w:hAnsiTheme="majorHAnsi" w:cs="Times New Roman"/>
          <w:sz w:val="24"/>
          <w:szCs w:val="24"/>
        </w:rPr>
      </w:pPr>
    </w:p>
    <w:p w:rsidR="006A68A4" w:rsidRPr="00B60A4B" w:rsidRDefault="006A68A4" w:rsidP="006A68A4">
      <w:pPr>
        <w:spacing w:line="264" w:lineRule="auto"/>
        <w:contextualSpacing/>
        <w:jc w:val="both"/>
        <w:rPr>
          <w:rFonts w:asciiTheme="majorHAnsi" w:hAnsiTheme="majorHAnsi" w:cs="Times New Roman"/>
          <w:b/>
          <w:sz w:val="24"/>
          <w:szCs w:val="24"/>
        </w:rPr>
      </w:pPr>
      <w:r w:rsidRPr="00B60A4B">
        <w:rPr>
          <w:rFonts w:asciiTheme="majorHAnsi" w:hAnsiTheme="majorHAnsi" w:cs="Times New Roman"/>
          <w:b/>
          <w:sz w:val="24"/>
          <w:szCs w:val="24"/>
        </w:rPr>
        <w:t>Reference</w:t>
      </w:r>
      <w:r w:rsidR="00591563" w:rsidRPr="00B60A4B">
        <w:rPr>
          <w:rFonts w:asciiTheme="majorHAnsi" w:hAnsiTheme="majorHAnsi" w:cs="Times New Roman"/>
          <w:b/>
          <w:sz w:val="24"/>
          <w:szCs w:val="24"/>
        </w:rPr>
        <w:t>s</w:t>
      </w:r>
      <w:r w:rsidRPr="00B60A4B">
        <w:rPr>
          <w:rFonts w:asciiTheme="majorHAnsi" w:hAnsiTheme="majorHAnsi" w:cs="Times New Roman"/>
          <w:b/>
          <w:sz w:val="24"/>
          <w:szCs w:val="24"/>
        </w:rPr>
        <w:t xml:space="preserve">: </w:t>
      </w:r>
    </w:p>
    <w:p w:rsidR="006A68A4" w:rsidRPr="00B60A4B" w:rsidRDefault="006A68A4" w:rsidP="006A68A4">
      <w:pPr>
        <w:pStyle w:val="ListParagraph"/>
        <w:numPr>
          <w:ilvl w:val="0"/>
          <w:numId w:val="9"/>
        </w:numPr>
        <w:spacing w:after="0" w:line="264" w:lineRule="auto"/>
        <w:rPr>
          <w:rFonts w:asciiTheme="majorHAnsi" w:eastAsia="Times New Roman" w:hAnsiTheme="majorHAnsi" w:cs="Times New Roman"/>
          <w:szCs w:val="24"/>
          <w:lang w:eastAsia="en-IN" w:bidi="mr-IN"/>
        </w:rPr>
      </w:pPr>
      <w:r w:rsidRPr="00B60A4B">
        <w:rPr>
          <w:rFonts w:asciiTheme="majorHAnsi" w:eastAsia="Times New Roman" w:hAnsiTheme="majorHAnsi" w:cs="Times New Roman"/>
          <w:szCs w:val="24"/>
          <w:lang w:eastAsia="en-IN" w:bidi="mr-IN"/>
        </w:rPr>
        <w:t xml:space="preserve">Agarwal, S., Satyavada, A., Patra, P., &amp; Kumar, R. (2008). Strengthening functional community–provider linkages: Lessons from the Indore urban health programme. </w:t>
      </w:r>
      <w:r w:rsidRPr="00B60A4B">
        <w:rPr>
          <w:rFonts w:asciiTheme="majorHAnsi" w:eastAsia="Times New Roman" w:hAnsiTheme="majorHAnsi" w:cs="Times New Roman"/>
          <w:i/>
          <w:iCs/>
          <w:szCs w:val="24"/>
          <w:lang w:eastAsia="en-IN" w:bidi="mr-IN"/>
        </w:rPr>
        <w:t>Global public health</w:t>
      </w:r>
      <w:r w:rsidRPr="00B60A4B">
        <w:rPr>
          <w:rFonts w:asciiTheme="majorHAnsi" w:eastAsia="Times New Roman" w:hAnsiTheme="majorHAnsi" w:cs="Times New Roman"/>
          <w:szCs w:val="24"/>
          <w:lang w:eastAsia="en-IN" w:bidi="mr-IN"/>
        </w:rPr>
        <w:t xml:space="preserve">, </w:t>
      </w:r>
      <w:r w:rsidRPr="00B60A4B">
        <w:rPr>
          <w:rFonts w:asciiTheme="majorHAnsi" w:eastAsia="Times New Roman" w:hAnsiTheme="majorHAnsi" w:cs="Times New Roman"/>
          <w:i/>
          <w:iCs/>
          <w:szCs w:val="24"/>
          <w:lang w:eastAsia="en-IN" w:bidi="mr-IN"/>
        </w:rPr>
        <w:t>3</w:t>
      </w:r>
      <w:r w:rsidRPr="00B60A4B">
        <w:rPr>
          <w:rFonts w:asciiTheme="majorHAnsi" w:eastAsia="Times New Roman" w:hAnsiTheme="majorHAnsi" w:cs="Times New Roman"/>
          <w:szCs w:val="24"/>
          <w:lang w:eastAsia="en-IN" w:bidi="mr-IN"/>
        </w:rPr>
        <w:t>(3), 308-325.</w:t>
      </w:r>
    </w:p>
    <w:p w:rsidR="006A68A4" w:rsidRPr="00B60A4B" w:rsidRDefault="006A68A4" w:rsidP="006A68A4">
      <w:pPr>
        <w:pStyle w:val="ListParagraph"/>
        <w:numPr>
          <w:ilvl w:val="0"/>
          <w:numId w:val="9"/>
        </w:numPr>
        <w:spacing w:after="0" w:line="264" w:lineRule="auto"/>
        <w:rPr>
          <w:rFonts w:asciiTheme="majorHAnsi" w:eastAsia="Times New Roman" w:hAnsiTheme="majorHAnsi" w:cs="Times New Roman"/>
          <w:szCs w:val="24"/>
          <w:lang w:eastAsia="en-IN" w:bidi="mr-IN"/>
        </w:rPr>
      </w:pPr>
      <w:r w:rsidRPr="00B60A4B">
        <w:rPr>
          <w:rFonts w:asciiTheme="majorHAnsi" w:eastAsia="Times New Roman" w:hAnsiTheme="majorHAnsi" w:cs="Times New Roman"/>
          <w:szCs w:val="24"/>
          <w:lang w:eastAsia="en-IN" w:bidi="mr-IN"/>
        </w:rPr>
        <w:t xml:space="preserve">Ghei, K., Agarwal, S., Subramanyam, M. A., &amp; Subramanian, S. V. (2010). Association between child immunization and availability of health infrastructure in slums in India. </w:t>
      </w:r>
      <w:r w:rsidRPr="00B60A4B">
        <w:rPr>
          <w:rFonts w:asciiTheme="majorHAnsi" w:eastAsia="Times New Roman" w:hAnsiTheme="majorHAnsi" w:cs="Times New Roman"/>
          <w:i/>
          <w:iCs/>
          <w:szCs w:val="24"/>
          <w:lang w:eastAsia="en-IN" w:bidi="mr-IN"/>
        </w:rPr>
        <w:t>Archives of pediatrics&amp; adolescent medicine</w:t>
      </w:r>
      <w:r w:rsidRPr="00B60A4B">
        <w:rPr>
          <w:rFonts w:asciiTheme="majorHAnsi" w:eastAsia="Times New Roman" w:hAnsiTheme="majorHAnsi" w:cs="Times New Roman"/>
          <w:szCs w:val="24"/>
          <w:lang w:eastAsia="en-IN" w:bidi="mr-IN"/>
        </w:rPr>
        <w:t xml:space="preserve">, </w:t>
      </w:r>
      <w:r w:rsidRPr="00B60A4B">
        <w:rPr>
          <w:rFonts w:asciiTheme="majorHAnsi" w:eastAsia="Times New Roman" w:hAnsiTheme="majorHAnsi" w:cs="Times New Roman"/>
          <w:i/>
          <w:iCs/>
          <w:szCs w:val="24"/>
          <w:lang w:eastAsia="en-IN" w:bidi="mr-IN"/>
        </w:rPr>
        <w:t>164</w:t>
      </w:r>
      <w:r w:rsidRPr="00B60A4B">
        <w:rPr>
          <w:rFonts w:asciiTheme="majorHAnsi" w:eastAsia="Times New Roman" w:hAnsiTheme="majorHAnsi" w:cs="Times New Roman"/>
          <w:szCs w:val="24"/>
          <w:lang w:eastAsia="en-IN" w:bidi="mr-IN"/>
        </w:rPr>
        <w:t>(3), 243.</w:t>
      </w:r>
    </w:p>
    <w:p w:rsidR="006A68A4" w:rsidRPr="00B60A4B" w:rsidRDefault="006A68A4" w:rsidP="006A68A4">
      <w:pPr>
        <w:pStyle w:val="ListParagraph"/>
        <w:numPr>
          <w:ilvl w:val="0"/>
          <w:numId w:val="9"/>
        </w:numPr>
        <w:spacing w:after="0" w:line="264" w:lineRule="auto"/>
        <w:rPr>
          <w:rFonts w:asciiTheme="majorHAnsi" w:eastAsia="Times New Roman" w:hAnsiTheme="majorHAnsi" w:cs="Times New Roman"/>
          <w:szCs w:val="24"/>
          <w:lang w:eastAsia="en-IN" w:bidi="mr-IN"/>
        </w:rPr>
      </w:pPr>
      <w:r w:rsidRPr="00B60A4B">
        <w:rPr>
          <w:rFonts w:asciiTheme="majorHAnsi" w:eastAsia="Times New Roman" w:hAnsiTheme="majorHAnsi" w:cs="Times New Roman"/>
          <w:szCs w:val="24"/>
          <w:lang w:eastAsia="en-IN" w:bidi="mr-IN"/>
        </w:rPr>
        <w:t xml:space="preserve">The Energy Resource Institute .(2010). Framework for Effective Consumer Grievance Redressal System. Project Report No.2009/A0. </w:t>
      </w:r>
    </w:p>
    <w:p w:rsidR="006A68A4" w:rsidRPr="00B60A4B" w:rsidRDefault="006A68A4" w:rsidP="006A68A4">
      <w:pPr>
        <w:pStyle w:val="ListParagraph"/>
        <w:numPr>
          <w:ilvl w:val="0"/>
          <w:numId w:val="9"/>
        </w:numPr>
        <w:spacing w:after="0" w:line="264" w:lineRule="auto"/>
        <w:rPr>
          <w:rFonts w:asciiTheme="majorHAnsi" w:eastAsia="Times New Roman" w:hAnsiTheme="majorHAnsi" w:cs="Times New Roman"/>
          <w:szCs w:val="24"/>
          <w:lang w:eastAsia="en-IN" w:bidi="mr-IN"/>
        </w:rPr>
      </w:pPr>
      <w:r w:rsidRPr="00B60A4B">
        <w:rPr>
          <w:rFonts w:asciiTheme="majorHAnsi" w:eastAsia="Times New Roman" w:hAnsiTheme="majorHAnsi" w:cs="Times New Roman"/>
          <w:szCs w:val="24"/>
          <w:lang w:eastAsia="en-IN" w:bidi="mr-IN"/>
        </w:rPr>
        <w:t xml:space="preserve">Aggarwal, V., Krithika, P. R., &amp;Garg, D. (2010). Strengthening municipal governance for effective consumer grievance redressal. </w:t>
      </w:r>
      <w:r w:rsidRPr="00B60A4B">
        <w:rPr>
          <w:rFonts w:asciiTheme="majorHAnsi" w:eastAsia="Times New Roman" w:hAnsiTheme="majorHAnsi" w:cs="Times New Roman"/>
          <w:i/>
          <w:iCs/>
          <w:szCs w:val="24"/>
          <w:lang w:eastAsia="en-IN" w:bidi="mr-IN"/>
        </w:rPr>
        <w:t>International Journal of Regulation and Governance</w:t>
      </w:r>
      <w:r w:rsidRPr="00B60A4B">
        <w:rPr>
          <w:rFonts w:asciiTheme="majorHAnsi" w:eastAsia="Times New Roman" w:hAnsiTheme="majorHAnsi" w:cs="Times New Roman"/>
          <w:szCs w:val="24"/>
          <w:lang w:eastAsia="en-IN" w:bidi="mr-IN"/>
        </w:rPr>
        <w:t xml:space="preserve">, </w:t>
      </w:r>
      <w:r w:rsidRPr="00B60A4B">
        <w:rPr>
          <w:rFonts w:asciiTheme="majorHAnsi" w:eastAsia="Times New Roman" w:hAnsiTheme="majorHAnsi" w:cs="Times New Roman"/>
          <w:i/>
          <w:iCs/>
          <w:szCs w:val="24"/>
          <w:lang w:eastAsia="en-IN" w:bidi="mr-IN"/>
        </w:rPr>
        <w:t>10</w:t>
      </w:r>
      <w:r w:rsidRPr="00B60A4B">
        <w:rPr>
          <w:rFonts w:asciiTheme="majorHAnsi" w:eastAsia="Times New Roman" w:hAnsiTheme="majorHAnsi" w:cs="Times New Roman"/>
          <w:szCs w:val="24"/>
          <w:lang w:eastAsia="en-IN" w:bidi="mr-IN"/>
        </w:rPr>
        <w:t>(2), 63-75.</w:t>
      </w:r>
    </w:p>
    <w:p w:rsidR="006A68A4" w:rsidRPr="00B60A4B" w:rsidRDefault="006A68A4" w:rsidP="006A68A4">
      <w:pPr>
        <w:pStyle w:val="ListParagraph"/>
        <w:numPr>
          <w:ilvl w:val="0"/>
          <w:numId w:val="9"/>
        </w:numPr>
        <w:spacing w:after="0" w:line="264" w:lineRule="auto"/>
        <w:rPr>
          <w:rFonts w:asciiTheme="majorHAnsi" w:eastAsia="Times New Roman" w:hAnsiTheme="majorHAnsi" w:cs="Times New Roman"/>
          <w:szCs w:val="24"/>
          <w:lang w:eastAsia="en-IN" w:bidi="mr-IN"/>
        </w:rPr>
      </w:pPr>
      <w:r w:rsidRPr="00B60A4B">
        <w:rPr>
          <w:rFonts w:asciiTheme="majorHAnsi" w:eastAsia="Times New Roman" w:hAnsiTheme="majorHAnsi" w:cs="Times New Roman"/>
          <w:szCs w:val="24"/>
          <w:lang w:eastAsia="en-IN" w:bidi="mr-IN"/>
        </w:rPr>
        <w:t xml:space="preserve">Smitha, K. C. (2006). Urban Governance and Bangalore Water Supply &amp; Sewerage Board (BWSSB). </w:t>
      </w:r>
      <w:r w:rsidRPr="00B60A4B">
        <w:rPr>
          <w:rFonts w:asciiTheme="majorHAnsi" w:eastAsia="Times New Roman" w:hAnsiTheme="majorHAnsi" w:cs="Times New Roman"/>
          <w:i/>
          <w:iCs/>
          <w:szCs w:val="24"/>
          <w:lang w:eastAsia="en-IN" w:bidi="mr-IN"/>
        </w:rPr>
        <w:t>Unpublished paper, Institute of Social and Economic Change, Bangalore</w:t>
      </w:r>
      <w:r w:rsidRPr="00B60A4B">
        <w:rPr>
          <w:rFonts w:asciiTheme="majorHAnsi" w:eastAsia="Times New Roman" w:hAnsiTheme="majorHAnsi" w:cs="Times New Roman"/>
          <w:szCs w:val="24"/>
          <w:lang w:eastAsia="en-IN" w:bidi="mr-IN"/>
        </w:rPr>
        <w:t>.</w:t>
      </w:r>
    </w:p>
    <w:p w:rsidR="006A68A4" w:rsidRPr="00B60A4B" w:rsidRDefault="006A68A4" w:rsidP="006A68A4">
      <w:pPr>
        <w:pStyle w:val="ListParagraph"/>
        <w:numPr>
          <w:ilvl w:val="0"/>
          <w:numId w:val="9"/>
        </w:numPr>
        <w:spacing w:after="0" w:line="264" w:lineRule="auto"/>
        <w:rPr>
          <w:rFonts w:asciiTheme="majorHAnsi" w:eastAsia="Times New Roman" w:hAnsiTheme="majorHAnsi" w:cs="Times New Roman"/>
          <w:szCs w:val="24"/>
          <w:lang w:eastAsia="en-IN" w:bidi="mr-IN"/>
        </w:rPr>
      </w:pPr>
      <w:r w:rsidRPr="00B60A4B">
        <w:rPr>
          <w:rFonts w:asciiTheme="majorHAnsi" w:eastAsia="Times New Roman" w:hAnsiTheme="majorHAnsi" w:cs="Times New Roman"/>
          <w:szCs w:val="24"/>
          <w:lang w:eastAsia="en-IN" w:bidi="mr-IN"/>
        </w:rPr>
        <w:lastRenderedPageBreak/>
        <w:t xml:space="preserve">Welfare, R. (2010). New forms of urban localism: service delivery in Bangalore. </w:t>
      </w:r>
      <w:r w:rsidRPr="00B60A4B">
        <w:rPr>
          <w:rFonts w:asciiTheme="majorHAnsi" w:eastAsia="Times New Roman" w:hAnsiTheme="majorHAnsi" w:cs="Times New Roman"/>
          <w:i/>
          <w:iCs/>
          <w:szCs w:val="24"/>
          <w:lang w:eastAsia="en-IN" w:bidi="mr-IN"/>
        </w:rPr>
        <w:t>Economic &amp; Political Weekly</w:t>
      </w:r>
      <w:r w:rsidRPr="00B60A4B">
        <w:rPr>
          <w:rFonts w:asciiTheme="majorHAnsi" w:eastAsia="Times New Roman" w:hAnsiTheme="majorHAnsi" w:cs="Times New Roman"/>
          <w:szCs w:val="24"/>
          <w:lang w:eastAsia="en-IN" w:bidi="mr-IN"/>
        </w:rPr>
        <w:t xml:space="preserve">, </w:t>
      </w:r>
      <w:r w:rsidRPr="00B60A4B">
        <w:rPr>
          <w:rFonts w:asciiTheme="majorHAnsi" w:eastAsia="Times New Roman" w:hAnsiTheme="majorHAnsi" w:cs="Times New Roman"/>
          <w:i/>
          <w:iCs/>
          <w:szCs w:val="24"/>
          <w:lang w:eastAsia="en-IN" w:bidi="mr-IN"/>
        </w:rPr>
        <w:t>45</w:t>
      </w:r>
      <w:r w:rsidRPr="00B60A4B">
        <w:rPr>
          <w:rFonts w:asciiTheme="majorHAnsi" w:eastAsia="Times New Roman" w:hAnsiTheme="majorHAnsi" w:cs="Times New Roman"/>
          <w:szCs w:val="24"/>
          <w:lang w:eastAsia="en-IN" w:bidi="mr-IN"/>
        </w:rPr>
        <w:t>(8), 73.</w:t>
      </w:r>
    </w:p>
    <w:p w:rsidR="006A68A4" w:rsidRPr="00B60A4B" w:rsidRDefault="006A68A4" w:rsidP="006A68A4">
      <w:pPr>
        <w:pStyle w:val="ListParagraph"/>
        <w:numPr>
          <w:ilvl w:val="0"/>
          <w:numId w:val="9"/>
        </w:numPr>
        <w:spacing w:after="0" w:line="264" w:lineRule="auto"/>
        <w:rPr>
          <w:rStyle w:val="Hyperlink"/>
          <w:rFonts w:asciiTheme="majorHAnsi" w:hAnsiTheme="majorHAnsi"/>
          <w:szCs w:val="24"/>
        </w:rPr>
      </w:pPr>
      <w:r w:rsidRPr="00B60A4B">
        <w:rPr>
          <w:rFonts w:asciiTheme="majorHAnsi" w:eastAsia="Times New Roman" w:hAnsiTheme="majorHAnsi" w:cs="Times New Roman"/>
          <w:szCs w:val="24"/>
          <w:lang w:eastAsia="en-IN" w:bidi="mr-IN"/>
        </w:rPr>
        <w:t xml:space="preserve">Youth for Social Development. Report of the Social Audit of Integrated Child Development Scheme in Brahmapur, Odisha. </w:t>
      </w:r>
      <w:hyperlink r:id="rId8" w:history="1">
        <w:r w:rsidRPr="00B60A4B">
          <w:rPr>
            <w:rStyle w:val="Hyperlink"/>
            <w:rFonts w:asciiTheme="majorHAnsi" w:hAnsiTheme="majorHAnsi"/>
            <w:szCs w:val="24"/>
          </w:rPr>
          <w:t>http://www.ysdindia.org/Downloads/Report%20of%20the%20Social%20Audit%20of%20ICDS%20in%20Berhampur,%20Odisha.pdf</w:t>
        </w:r>
      </w:hyperlink>
    </w:p>
    <w:p w:rsidR="006A68A4" w:rsidRPr="00B60A4B" w:rsidRDefault="006A68A4" w:rsidP="006A68A4">
      <w:pPr>
        <w:pStyle w:val="ListParagraph"/>
        <w:numPr>
          <w:ilvl w:val="0"/>
          <w:numId w:val="9"/>
        </w:numPr>
        <w:spacing w:after="0" w:line="264" w:lineRule="auto"/>
        <w:rPr>
          <w:rFonts w:asciiTheme="majorHAnsi" w:eastAsia="Times New Roman" w:hAnsiTheme="majorHAnsi" w:cs="Times New Roman"/>
          <w:szCs w:val="24"/>
          <w:lang w:eastAsia="en-IN" w:bidi="mr-IN"/>
        </w:rPr>
      </w:pPr>
      <w:r w:rsidRPr="00B60A4B">
        <w:rPr>
          <w:rFonts w:asciiTheme="majorHAnsi" w:eastAsia="Times New Roman" w:hAnsiTheme="majorHAnsi" w:cs="Times New Roman"/>
          <w:szCs w:val="24"/>
          <w:lang w:eastAsia="en-IN" w:bidi="mr-IN"/>
        </w:rPr>
        <w:t xml:space="preserve">Alcock, G. A., More, N. S., Patil, S., Porel, M., Vaidya, L., &amp;Osrin, D. (2009). Community-based health programmes: role perceptions and experiences of female peer facilitators in Mumbai's urban slums. </w:t>
      </w:r>
      <w:r w:rsidRPr="00B60A4B">
        <w:rPr>
          <w:rFonts w:asciiTheme="majorHAnsi" w:eastAsia="Times New Roman" w:hAnsiTheme="majorHAnsi" w:cs="Times New Roman"/>
          <w:i/>
          <w:iCs/>
          <w:szCs w:val="24"/>
          <w:lang w:eastAsia="en-IN" w:bidi="mr-IN"/>
        </w:rPr>
        <w:t>Health education research</w:t>
      </w:r>
      <w:r w:rsidRPr="00B60A4B">
        <w:rPr>
          <w:rFonts w:asciiTheme="majorHAnsi" w:eastAsia="Times New Roman" w:hAnsiTheme="majorHAnsi" w:cs="Times New Roman"/>
          <w:szCs w:val="24"/>
          <w:lang w:eastAsia="en-IN" w:bidi="mr-IN"/>
        </w:rPr>
        <w:t xml:space="preserve">, </w:t>
      </w:r>
      <w:r w:rsidRPr="00B60A4B">
        <w:rPr>
          <w:rFonts w:asciiTheme="majorHAnsi" w:eastAsia="Times New Roman" w:hAnsiTheme="majorHAnsi" w:cs="Times New Roman"/>
          <w:i/>
          <w:iCs/>
          <w:szCs w:val="24"/>
          <w:lang w:eastAsia="en-IN" w:bidi="mr-IN"/>
        </w:rPr>
        <w:t>24</w:t>
      </w:r>
      <w:r w:rsidRPr="00B60A4B">
        <w:rPr>
          <w:rFonts w:asciiTheme="majorHAnsi" w:eastAsia="Times New Roman" w:hAnsiTheme="majorHAnsi" w:cs="Times New Roman"/>
          <w:szCs w:val="24"/>
          <w:lang w:eastAsia="en-IN" w:bidi="mr-IN"/>
        </w:rPr>
        <w:t>(6), 957-966.</w:t>
      </w:r>
    </w:p>
    <w:p w:rsidR="006A68A4" w:rsidRPr="00B60A4B" w:rsidRDefault="006A68A4" w:rsidP="006A68A4">
      <w:pPr>
        <w:pStyle w:val="ListParagraph"/>
        <w:numPr>
          <w:ilvl w:val="0"/>
          <w:numId w:val="9"/>
        </w:numPr>
        <w:spacing w:after="0" w:line="264" w:lineRule="auto"/>
        <w:rPr>
          <w:rFonts w:asciiTheme="majorHAnsi" w:eastAsia="Times New Roman" w:hAnsiTheme="majorHAnsi" w:cs="Times New Roman"/>
          <w:szCs w:val="24"/>
          <w:lang w:eastAsia="en-IN" w:bidi="mr-IN"/>
        </w:rPr>
      </w:pPr>
      <w:r w:rsidRPr="00B60A4B">
        <w:rPr>
          <w:rFonts w:asciiTheme="majorHAnsi" w:eastAsia="Times New Roman" w:hAnsiTheme="majorHAnsi" w:cs="Times New Roman"/>
          <w:szCs w:val="24"/>
          <w:lang w:eastAsia="en-IN" w:bidi="mr-IN"/>
        </w:rPr>
        <w:t xml:space="preserve">Yesudian, C. A. K. (2007). Poverty alleviation programmes in India: A social audit. </w:t>
      </w:r>
      <w:r w:rsidRPr="00B60A4B">
        <w:rPr>
          <w:rFonts w:asciiTheme="majorHAnsi" w:eastAsia="Times New Roman" w:hAnsiTheme="majorHAnsi" w:cs="Times New Roman"/>
          <w:i/>
          <w:iCs/>
          <w:szCs w:val="24"/>
          <w:lang w:eastAsia="en-IN" w:bidi="mr-IN"/>
        </w:rPr>
        <w:t>Indian Journal of Medical Research</w:t>
      </w:r>
      <w:r w:rsidRPr="00B60A4B">
        <w:rPr>
          <w:rFonts w:asciiTheme="majorHAnsi" w:eastAsia="Times New Roman" w:hAnsiTheme="majorHAnsi" w:cs="Times New Roman"/>
          <w:szCs w:val="24"/>
          <w:lang w:eastAsia="en-IN" w:bidi="mr-IN"/>
        </w:rPr>
        <w:t xml:space="preserve">, </w:t>
      </w:r>
      <w:r w:rsidRPr="00B60A4B">
        <w:rPr>
          <w:rFonts w:asciiTheme="majorHAnsi" w:eastAsia="Times New Roman" w:hAnsiTheme="majorHAnsi" w:cs="Times New Roman"/>
          <w:i/>
          <w:iCs/>
          <w:szCs w:val="24"/>
          <w:lang w:eastAsia="en-IN" w:bidi="mr-IN"/>
        </w:rPr>
        <w:t>126</w:t>
      </w:r>
      <w:r w:rsidRPr="00B60A4B">
        <w:rPr>
          <w:rFonts w:asciiTheme="majorHAnsi" w:eastAsia="Times New Roman" w:hAnsiTheme="majorHAnsi" w:cs="Times New Roman"/>
          <w:szCs w:val="24"/>
          <w:lang w:eastAsia="en-IN" w:bidi="mr-IN"/>
        </w:rPr>
        <w:t>(4), 364.</w:t>
      </w:r>
    </w:p>
    <w:p w:rsidR="006A68A4" w:rsidRPr="00B60A4B" w:rsidRDefault="006A68A4" w:rsidP="006A68A4">
      <w:pPr>
        <w:pStyle w:val="ListParagraph"/>
        <w:numPr>
          <w:ilvl w:val="0"/>
          <w:numId w:val="9"/>
        </w:numPr>
        <w:spacing w:after="0" w:line="264" w:lineRule="auto"/>
        <w:rPr>
          <w:rFonts w:asciiTheme="majorHAnsi" w:eastAsia="Times New Roman" w:hAnsiTheme="majorHAnsi" w:cs="Times New Roman"/>
          <w:szCs w:val="24"/>
          <w:lang w:eastAsia="en-IN" w:bidi="mr-IN"/>
        </w:rPr>
      </w:pPr>
      <w:r w:rsidRPr="00B60A4B">
        <w:rPr>
          <w:rFonts w:asciiTheme="majorHAnsi" w:eastAsia="Times New Roman" w:hAnsiTheme="majorHAnsi" w:cs="Times New Roman"/>
          <w:szCs w:val="24"/>
          <w:lang w:eastAsia="en-IN" w:bidi="mr-IN"/>
        </w:rPr>
        <w:t>Khanna Renau., Pradhan Anagha. (2013). Enaluation of the Process of Community Based Monitoring and Planning of Health Services in Maharashtra. SATHI, Pune.</w:t>
      </w:r>
    </w:p>
    <w:p w:rsidR="006A68A4" w:rsidRPr="00B60A4B" w:rsidRDefault="006A68A4" w:rsidP="006A68A4">
      <w:pPr>
        <w:pStyle w:val="ListParagraph"/>
        <w:numPr>
          <w:ilvl w:val="0"/>
          <w:numId w:val="9"/>
        </w:numPr>
        <w:spacing w:after="0" w:line="264" w:lineRule="auto"/>
        <w:rPr>
          <w:rFonts w:asciiTheme="majorHAnsi" w:eastAsia="Times New Roman" w:hAnsiTheme="majorHAnsi" w:cs="Times New Roman"/>
          <w:szCs w:val="24"/>
          <w:lang w:eastAsia="en-IN" w:bidi="mr-IN"/>
        </w:rPr>
      </w:pPr>
      <w:r w:rsidRPr="00B60A4B">
        <w:rPr>
          <w:rFonts w:asciiTheme="majorHAnsi" w:eastAsia="Times New Roman" w:hAnsiTheme="majorHAnsi" w:cs="Times New Roman"/>
          <w:szCs w:val="24"/>
          <w:lang w:eastAsia="en-IN" w:bidi="mr-IN"/>
        </w:rPr>
        <w:t xml:space="preserve">One World Foundation.(2012)Urban Development: In-Situ Slum Upgradation under JNNURM, Governance Knowledge Centre, Government of India. </w:t>
      </w:r>
    </w:p>
    <w:p w:rsidR="006A68A4" w:rsidRPr="00B60A4B" w:rsidRDefault="006A68A4" w:rsidP="006A68A4">
      <w:pPr>
        <w:pStyle w:val="ListParagraph"/>
        <w:numPr>
          <w:ilvl w:val="0"/>
          <w:numId w:val="9"/>
        </w:numPr>
        <w:spacing w:after="0" w:line="264" w:lineRule="auto"/>
        <w:rPr>
          <w:rFonts w:asciiTheme="majorHAnsi" w:eastAsia="Times New Roman" w:hAnsiTheme="majorHAnsi" w:cs="Times New Roman"/>
          <w:szCs w:val="24"/>
          <w:lang w:eastAsia="en-IN" w:bidi="mr-IN"/>
        </w:rPr>
      </w:pPr>
      <w:r w:rsidRPr="00B60A4B">
        <w:rPr>
          <w:rFonts w:asciiTheme="majorHAnsi" w:eastAsia="Times New Roman" w:hAnsiTheme="majorHAnsi" w:cs="Times New Roman"/>
          <w:szCs w:val="24"/>
          <w:lang w:eastAsia="en-IN" w:bidi="mr-IN"/>
        </w:rPr>
        <w:t xml:space="preserve">Rydin, Y., Bleahu, A., Davies, M., Dávila, J. D., Friel, S., De Grandis, G..&amp; Wilson, J. (2012). Shaping cities for health: complexity and the planning of urban environments in the 21st century. </w:t>
      </w:r>
      <w:r w:rsidRPr="00B60A4B">
        <w:rPr>
          <w:rFonts w:asciiTheme="majorHAnsi" w:eastAsia="Times New Roman" w:hAnsiTheme="majorHAnsi" w:cs="Times New Roman"/>
          <w:i/>
          <w:iCs/>
          <w:szCs w:val="24"/>
          <w:lang w:eastAsia="en-IN" w:bidi="mr-IN"/>
        </w:rPr>
        <w:t>Lancet</w:t>
      </w:r>
      <w:r w:rsidRPr="00B60A4B">
        <w:rPr>
          <w:rFonts w:asciiTheme="majorHAnsi" w:eastAsia="Times New Roman" w:hAnsiTheme="majorHAnsi" w:cs="Times New Roman"/>
          <w:szCs w:val="24"/>
          <w:lang w:eastAsia="en-IN" w:bidi="mr-IN"/>
        </w:rPr>
        <w:t xml:space="preserve">, </w:t>
      </w:r>
      <w:r w:rsidRPr="00B60A4B">
        <w:rPr>
          <w:rFonts w:asciiTheme="majorHAnsi" w:eastAsia="Times New Roman" w:hAnsiTheme="majorHAnsi" w:cs="Times New Roman"/>
          <w:i/>
          <w:iCs/>
          <w:szCs w:val="24"/>
          <w:lang w:eastAsia="en-IN" w:bidi="mr-IN"/>
        </w:rPr>
        <w:t>379</w:t>
      </w:r>
      <w:r w:rsidRPr="00B60A4B">
        <w:rPr>
          <w:rFonts w:asciiTheme="majorHAnsi" w:eastAsia="Times New Roman" w:hAnsiTheme="majorHAnsi" w:cs="Times New Roman"/>
          <w:szCs w:val="24"/>
          <w:lang w:eastAsia="en-IN" w:bidi="mr-IN"/>
        </w:rPr>
        <w:t>(9831), 2079.</w:t>
      </w:r>
    </w:p>
    <w:p w:rsidR="006A68A4" w:rsidRPr="00B60A4B" w:rsidRDefault="006A68A4" w:rsidP="006A68A4">
      <w:pPr>
        <w:pStyle w:val="ListParagraph"/>
        <w:numPr>
          <w:ilvl w:val="0"/>
          <w:numId w:val="9"/>
        </w:numPr>
        <w:spacing w:after="0" w:line="264" w:lineRule="auto"/>
        <w:rPr>
          <w:rFonts w:asciiTheme="majorHAnsi" w:eastAsia="Times New Roman" w:hAnsiTheme="majorHAnsi" w:cs="Times New Roman"/>
          <w:szCs w:val="24"/>
          <w:lang w:eastAsia="en-IN" w:bidi="mr-IN"/>
        </w:rPr>
      </w:pPr>
      <w:r w:rsidRPr="00B60A4B">
        <w:rPr>
          <w:rFonts w:asciiTheme="majorHAnsi" w:eastAsia="Times New Roman" w:hAnsiTheme="majorHAnsi" w:cs="Times New Roman"/>
          <w:szCs w:val="24"/>
          <w:lang w:eastAsia="en-IN" w:bidi="mr-IN"/>
        </w:rPr>
        <w:t>GoI. (2005)Status of Water Supply, Sanitation and Solid Waste Management in Urban Areas, CPHEEO, NewDelhi.</w:t>
      </w:r>
    </w:p>
    <w:p w:rsidR="006A68A4" w:rsidRPr="00B60A4B" w:rsidRDefault="006A68A4" w:rsidP="006A68A4">
      <w:pPr>
        <w:pStyle w:val="ListParagraph"/>
        <w:numPr>
          <w:ilvl w:val="0"/>
          <w:numId w:val="9"/>
        </w:numPr>
        <w:spacing w:after="0" w:line="264" w:lineRule="auto"/>
        <w:rPr>
          <w:rFonts w:asciiTheme="majorHAnsi" w:eastAsia="Times New Roman" w:hAnsiTheme="majorHAnsi" w:cs="Times New Roman"/>
          <w:szCs w:val="24"/>
          <w:lang w:eastAsia="en-IN" w:bidi="mr-IN"/>
        </w:rPr>
      </w:pPr>
      <w:r w:rsidRPr="00B60A4B">
        <w:rPr>
          <w:rFonts w:asciiTheme="majorHAnsi" w:eastAsia="Times New Roman" w:hAnsiTheme="majorHAnsi" w:cs="Times New Roman"/>
          <w:szCs w:val="24"/>
          <w:lang w:eastAsia="en-IN" w:bidi="mr-IN"/>
        </w:rPr>
        <w:t xml:space="preserve">Swain, B., &amp; Sen, P. D. (2009). Bridging the malnutrition gap with social audits and community participation. </w:t>
      </w:r>
      <w:r w:rsidRPr="00B60A4B">
        <w:rPr>
          <w:rFonts w:asciiTheme="majorHAnsi" w:eastAsia="Times New Roman" w:hAnsiTheme="majorHAnsi" w:cs="Times New Roman"/>
          <w:i/>
          <w:iCs/>
          <w:szCs w:val="24"/>
          <w:lang w:eastAsia="en-IN" w:bidi="mr-IN"/>
        </w:rPr>
        <w:t>IDS Bulletin</w:t>
      </w:r>
      <w:r w:rsidRPr="00B60A4B">
        <w:rPr>
          <w:rFonts w:asciiTheme="majorHAnsi" w:eastAsia="Times New Roman" w:hAnsiTheme="majorHAnsi" w:cs="Times New Roman"/>
          <w:szCs w:val="24"/>
          <w:lang w:eastAsia="en-IN" w:bidi="mr-IN"/>
        </w:rPr>
        <w:t xml:space="preserve">, </w:t>
      </w:r>
      <w:r w:rsidRPr="00B60A4B">
        <w:rPr>
          <w:rFonts w:asciiTheme="majorHAnsi" w:eastAsia="Times New Roman" w:hAnsiTheme="majorHAnsi" w:cs="Times New Roman"/>
          <w:i/>
          <w:iCs/>
          <w:szCs w:val="24"/>
          <w:lang w:eastAsia="en-IN" w:bidi="mr-IN"/>
        </w:rPr>
        <w:t>40</w:t>
      </w:r>
      <w:r w:rsidRPr="00B60A4B">
        <w:rPr>
          <w:rFonts w:asciiTheme="majorHAnsi" w:eastAsia="Times New Roman" w:hAnsiTheme="majorHAnsi" w:cs="Times New Roman"/>
          <w:szCs w:val="24"/>
          <w:lang w:eastAsia="en-IN" w:bidi="mr-IN"/>
        </w:rPr>
        <w:t>(4), 95-102.</w:t>
      </w:r>
    </w:p>
    <w:p w:rsidR="006A68A4" w:rsidRPr="00B60A4B" w:rsidRDefault="006A68A4" w:rsidP="006A68A4">
      <w:pPr>
        <w:pStyle w:val="ListParagraph"/>
        <w:spacing w:after="0" w:line="264" w:lineRule="auto"/>
        <w:rPr>
          <w:rFonts w:asciiTheme="majorHAnsi" w:eastAsia="Times New Roman" w:hAnsiTheme="majorHAnsi" w:cs="Times New Roman"/>
          <w:szCs w:val="24"/>
          <w:lang w:eastAsia="en-IN" w:bidi="mr-IN"/>
        </w:rPr>
      </w:pPr>
    </w:p>
    <w:p w:rsidR="00591563" w:rsidRPr="00B60A4B" w:rsidRDefault="00591563" w:rsidP="006A68A4">
      <w:pPr>
        <w:pStyle w:val="ListParagraph"/>
        <w:spacing w:after="0" w:line="264" w:lineRule="auto"/>
        <w:rPr>
          <w:rFonts w:asciiTheme="majorHAnsi" w:eastAsia="Times New Roman" w:hAnsiTheme="majorHAnsi" w:cs="Times New Roman"/>
          <w:szCs w:val="24"/>
          <w:lang w:eastAsia="en-IN" w:bidi="mr-IN"/>
        </w:rPr>
      </w:pPr>
    </w:p>
    <w:p w:rsidR="00591563" w:rsidRPr="00B60A4B" w:rsidRDefault="00591563" w:rsidP="006A68A4">
      <w:pPr>
        <w:pStyle w:val="ListParagraph"/>
        <w:spacing w:after="0" w:line="264" w:lineRule="auto"/>
        <w:rPr>
          <w:rFonts w:asciiTheme="majorHAnsi" w:eastAsia="Times New Roman" w:hAnsiTheme="majorHAnsi" w:cs="Times New Roman"/>
          <w:szCs w:val="24"/>
          <w:lang w:eastAsia="en-IN" w:bidi="mr-IN"/>
        </w:rPr>
      </w:pPr>
    </w:p>
    <w:p w:rsidR="00591563" w:rsidRDefault="00591563" w:rsidP="006A68A4">
      <w:pPr>
        <w:pStyle w:val="ListParagraph"/>
        <w:spacing w:after="0" w:line="264" w:lineRule="auto"/>
        <w:rPr>
          <w:rFonts w:asciiTheme="majorHAnsi" w:eastAsia="Times New Roman" w:hAnsiTheme="majorHAnsi" w:cs="Times New Roman"/>
          <w:sz w:val="24"/>
          <w:szCs w:val="24"/>
          <w:lang w:eastAsia="en-IN" w:bidi="mr-IN"/>
        </w:rPr>
      </w:pPr>
    </w:p>
    <w:p w:rsidR="00591563" w:rsidRDefault="00591563" w:rsidP="006A68A4">
      <w:pPr>
        <w:pStyle w:val="ListParagraph"/>
        <w:spacing w:after="0" w:line="264" w:lineRule="auto"/>
        <w:rPr>
          <w:rFonts w:asciiTheme="majorHAnsi" w:eastAsia="Times New Roman" w:hAnsiTheme="majorHAnsi" w:cs="Times New Roman"/>
          <w:sz w:val="24"/>
          <w:szCs w:val="24"/>
          <w:lang w:eastAsia="en-IN" w:bidi="mr-IN"/>
        </w:rPr>
      </w:pPr>
    </w:p>
    <w:p w:rsidR="00591563" w:rsidRDefault="00591563" w:rsidP="006A68A4">
      <w:pPr>
        <w:pStyle w:val="ListParagraph"/>
        <w:spacing w:after="0" w:line="264" w:lineRule="auto"/>
        <w:rPr>
          <w:rFonts w:asciiTheme="majorHAnsi" w:eastAsia="Times New Roman" w:hAnsiTheme="majorHAnsi" w:cs="Times New Roman"/>
          <w:sz w:val="24"/>
          <w:szCs w:val="24"/>
          <w:lang w:eastAsia="en-IN" w:bidi="mr-IN"/>
        </w:rPr>
      </w:pPr>
    </w:p>
    <w:p w:rsidR="00591563" w:rsidRDefault="00591563" w:rsidP="006A68A4">
      <w:pPr>
        <w:pStyle w:val="ListParagraph"/>
        <w:spacing w:after="0" w:line="264" w:lineRule="auto"/>
        <w:rPr>
          <w:rFonts w:asciiTheme="majorHAnsi" w:eastAsia="Times New Roman" w:hAnsiTheme="majorHAnsi" w:cs="Times New Roman"/>
          <w:sz w:val="24"/>
          <w:szCs w:val="24"/>
          <w:lang w:eastAsia="en-IN" w:bidi="mr-IN"/>
        </w:rPr>
      </w:pPr>
    </w:p>
    <w:p w:rsidR="00591563" w:rsidRDefault="00591563" w:rsidP="006A68A4">
      <w:pPr>
        <w:pStyle w:val="ListParagraph"/>
        <w:spacing w:after="0" w:line="264" w:lineRule="auto"/>
        <w:rPr>
          <w:rFonts w:asciiTheme="majorHAnsi" w:eastAsia="Times New Roman" w:hAnsiTheme="majorHAnsi" w:cs="Times New Roman"/>
          <w:sz w:val="24"/>
          <w:szCs w:val="24"/>
          <w:lang w:eastAsia="en-IN" w:bidi="mr-IN"/>
        </w:rPr>
      </w:pPr>
    </w:p>
    <w:p w:rsidR="00591563" w:rsidRDefault="00591563" w:rsidP="006A68A4">
      <w:pPr>
        <w:pStyle w:val="ListParagraph"/>
        <w:spacing w:after="0" w:line="264" w:lineRule="auto"/>
        <w:rPr>
          <w:rFonts w:asciiTheme="majorHAnsi" w:eastAsia="Times New Roman" w:hAnsiTheme="majorHAnsi" w:cs="Times New Roman"/>
          <w:sz w:val="24"/>
          <w:szCs w:val="24"/>
          <w:lang w:eastAsia="en-IN" w:bidi="mr-IN"/>
        </w:rPr>
      </w:pPr>
    </w:p>
    <w:p w:rsidR="00591563" w:rsidRDefault="00591563" w:rsidP="006A68A4">
      <w:pPr>
        <w:pStyle w:val="ListParagraph"/>
        <w:spacing w:after="0" w:line="264" w:lineRule="auto"/>
        <w:rPr>
          <w:rFonts w:asciiTheme="majorHAnsi" w:eastAsia="Times New Roman" w:hAnsiTheme="majorHAnsi" w:cs="Times New Roman"/>
          <w:sz w:val="24"/>
          <w:szCs w:val="24"/>
          <w:lang w:eastAsia="en-IN" w:bidi="mr-IN"/>
        </w:rPr>
      </w:pPr>
    </w:p>
    <w:p w:rsidR="00591563" w:rsidRPr="006A68A4" w:rsidRDefault="00591563" w:rsidP="006A68A4">
      <w:pPr>
        <w:pStyle w:val="ListParagraph"/>
        <w:spacing w:after="0" w:line="264" w:lineRule="auto"/>
        <w:rPr>
          <w:rFonts w:asciiTheme="majorHAnsi" w:eastAsia="Times New Roman" w:hAnsiTheme="majorHAnsi" w:cs="Times New Roman"/>
          <w:sz w:val="24"/>
          <w:szCs w:val="24"/>
          <w:lang w:eastAsia="en-IN" w:bidi="mr-IN"/>
        </w:rPr>
      </w:pPr>
    </w:p>
    <w:p w:rsidR="006A68A4" w:rsidRDefault="006A68A4" w:rsidP="006A68A4">
      <w:pPr>
        <w:pStyle w:val="ListParagraph"/>
        <w:spacing w:after="0" w:line="264" w:lineRule="auto"/>
        <w:rPr>
          <w:rFonts w:asciiTheme="majorHAnsi" w:eastAsia="Times New Roman" w:hAnsiTheme="majorHAnsi" w:cs="Times New Roman"/>
          <w:sz w:val="24"/>
          <w:szCs w:val="24"/>
          <w:lang w:eastAsia="en-IN" w:bidi="mr-IN"/>
        </w:rPr>
      </w:pPr>
    </w:p>
    <w:p w:rsidR="00B60A4B" w:rsidRDefault="00B60A4B" w:rsidP="006A68A4">
      <w:pPr>
        <w:pStyle w:val="ListParagraph"/>
        <w:spacing w:after="0" w:line="264" w:lineRule="auto"/>
        <w:rPr>
          <w:rFonts w:asciiTheme="majorHAnsi" w:eastAsia="Times New Roman" w:hAnsiTheme="majorHAnsi" w:cs="Times New Roman"/>
          <w:sz w:val="24"/>
          <w:szCs w:val="24"/>
          <w:lang w:eastAsia="en-IN" w:bidi="mr-IN"/>
        </w:rPr>
      </w:pPr>
    </w:p>
    <w:p w:rsidR="00B60A4B" w:rsidRDefault="00B60A4B" w:rsidP="006A68A4">
      <w:pPr>
        <w:pStyle w:val="ListParagraph"/>
        <w:spacing w:after="0" w:line="264" w:lineRule="auto"/>
        <w:rPr>
          <w:rFonts w:asciiTheme="majorHAnsi" w:eastAsia="Times New Roman" w:hAnsiTheme="majorHAnsi" w:cs="Times New Roman"/>
          <w:sz w:val="24"/>
          <w:szCs w:val="24"/>
          <w:lang w:eastAsia="en-IN" w:bidi="mr-IN"/>
        </w:rPr>
      </w:pPr>
    </w:p>
    <w:p w:rsidR="00B60A4B" w:rsidRPr="006A68A4" w:rsidRDefault="00B60A4B" w:rsidP="006A68A4">
      <w:pPr>
        <w:pStyle w:val="ListParagraph"/>
        <w:spacing w:after="0" w:line="264" w:lineRule="auto"/>
        <w:rPr>
          <w:rFonts w:asciiTheme="majorHAnsi" w:eastAsia="Times New Roman" w:hAnsiTheme="majorHAnsi" w:cs="Times New Roman"/>
          <w:sz w:val="24"/>
          <w:szCs w:val="24"/>
          <w:lang w:eastAsia="en-IN" w:bidi="mr-IN"/>
        </w:rPr>
      </w:pPr>
    </w:p>
    <w:p w:rsidR="006A68A4" w:rsidRPr="006A68A4" w:rsidRDefault="006A68A4" w:rsidP="006A68A4">
      <w:pPr>
        <w:spacing w:line="264" w:lineRule="auto"/>
        <w:contextualSpacing/>
        <w:jc w:val="both"/>
        <w:rPr>
          <w:rFonts w:asciiTheme="majorHAnsi" w:hAnsiTheme="majorHAnsi" w:cs="Times New Roman"/>
          <w:sz w:val="24"/>
          <w:szCs w:val="24"/>
        </w:rPr>
      </w:pPr>
    </w:p>
    <w:p w:rsidR="00591563" w:rsidRDefault="00591563" w:rsidP="006A68A4">
      <w:pPr>
        <w:spacing w:line="264" w:lineRule="auto"/>
        <w:contextualSpacing/>
        <w:jc w:val="both"/>
        <w:rPr>
          <w:rFonts w:asciiTheme="majorHAnsi" w:hAnsiTheme="majorHAnsi"/>
          <w:b/>
          <w:sz w:val="36"/>
          <w:szCs w:val="36"/>
        </w:rPr>
      </w:pPr>
    </w:p>
    <w:p w:rsidR="00591563" w:rsidRDefault="00591563" w:rsidP="006A68A4">
      <w:pPr>
        <w:spacing w:line="264" w:lineRule="auto"/>
        <w:contextualSpacing/>
        <w:jc w:val="both"/>
        <w:rPr>
          <w:rFonts w:asciiTheme="majorHAnsi" w:hAnsiTheme="majorHAnsi"/>
          <w:b/>
          <w:sz w:val="36"/>
          <w:szCs w:val="36"/>
        </w:rPr>
      </w:pPr>
    </w:p>
    <w:p w:rsidR="00B60A4B" w:rsidRDefault="00B60A4B" w:rsidP="006A68A4">
      <w:pPr>
        <w:spacing w:line="264" w:lineRule="auto"/>
        <w:contextualSpacing/>
        <w:jc w:val="both"/>
        <w:rPr>
          <w:rFonts w:asciiTheme="majorHAnsi" w:hAnsiTheme="majorHAnsi"/>
          <w:b/>
          <w:sz w:val="36"/>
          <w:szCs w:val="36"/>
        </w:rPr>
      </w:pPr>
    </w:p>
    <w:p w:rsidR="00B60A4B" w:rsidRDefault="00B60A4B" w:rsidP="006A68A4">
      <w:pPr>
        <w:spacing w:line="264" w:lineRule="auto"/>
        <w:contextualSpacing/>
        <w:jc w:val="both"/>
        <w:rPr>
          <w:rFonts w:asciiTheme="majorHAnsi" w:hAnsiTheme="majorHAnsi"/>
          <w:b/>
          <w:sz w:val="36"/>
          <w:szCs w:val="36"/>
        </w:rPr>
      </w:pPr>
    </w:p>
    <w:p w:rsidR="00B60A4B" w:rsidRDefault="00B60A4B" w:rsidP="006A68A4">
      <w:pPr>
        <w:spacing w:line="264" w:lineRule="auto"/>
        <w:contextualSpacing/>
        <w:jc w:val="both"/>
        <w:rPr>
          <w:rFonts w:asciiTheme="majorHAnsi" w:hAnsiTheme="majorHAnsi"/>
          <w:b/>
          <w:sz w:val="36"/>
          <w:szCs w:val="36"/>
        </w:rPr>
      </w:pPr>
    </w:p>
    <w:p w:rsidR="00B60A4B" w:rsidRDefault="00B60A4B" w:rsidP="006A68A4">
      <w:pPr>
        <w:spacing w:line="264" w:lineRule="auto"/>
        <w:contextualSpacing/>
        <w:jc w:val="both"/>
        <w:rPr>
          <w:rFonts w:asciiTheme="majorHAnsi" w:hAnsiTheme="majorHAnsi"/>
          <w:b/>
          <w:sz w:val="36"/>
          <w:szCs w:val="36"/>
        </w:rPr>
      </w:pPr>
    </w:p>
    <w:p w:rsidR="006A68A4" w:rsidRDefault="006A68A4" w:rsidP="006A68A4">
      <w:pPr>
        <w:spacing w:line="264" w:lineRule="auto"/>
        <w:contextualSpacing/>
        <w:jc w:val="both"/>
        <w:rPr>
          <w:rFonts w:asciiTheme="majorHAnsi" w:hAnsiTheme="majorHAnsi"/>
          <w:b/>
          <w:sz w:val="36"/>
          <w:szCs w:val="36"/>
        </w:rPr>
      </w:pPr>
      <w:r w:rsidRPr="00591563">
        <w:rPr>
          <w:rFonts w:asciiTheme="majorHAnsi" w:hAnsiTheme="majorHAnsi"/>
          <w:b/>
          <w:sz w:val="36"/>
          <w:szCs w:val="36"/>
        </w:rPr>
        <w:t>Working Group IV: Urban Health Financing, Phasing and Governance</w:t>
      </w:r>
    </w:p>
    <w:p w:rsidR="00591563" w:rsidRPr="00591563" w:rsidRDefault="00D20074" w:rsidP="006A68A4">
      <w:pPr>
        <w:spacing w:line="264" w:lineRule="auto"/>
        <w:contextualSpacing/>
        <w:jc w:val="both"/>
        <w:rPr>
          <w:rFonts w:asciiTheme="majorHAnsi" w:hAnsiTheme="majorHAnsi"/>
          <w:b/>
          <w:sz w:val="36"/>
          <w:szCs w:val="36"/>
        </w:rPr>
      </w:pPr>
      <w:r>
        <w:rPr>
          <w:rFonts w:asciiTheme="majorHAnsi" w:hAnsiTheme="majorHAnsi"/>
          <w:b/>
          <w:noProof/>
          <w:sz w:val="36"/>
          <w:szCs w:val="36"/>
        </w:rPr>
        <w:pict>
          <v:line id="Straight Connector 21" o:spid="_x0000_s1027" style="position:absolute;left:0;text-align:left;z-index:251673600;visibility:visible;mso-width-relative:margin" from="-7.55pt,15.55pt" to="498.9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" strokecolor="#4579b8 [3044]"/>
        </w:pict>
      </w: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D024C7" w:rsidRDefault="00B60A4B" w:rsidP="006A68A4">
      <w:pPr>
        <w:pStyle w:val="ListParagraph"/>
        <w:spacing w:line="264" w:lineRule="auto"/>
        <w:jc w:val="center"/>
        <w:rPr>
          <w:rFonts w:asciiTheme="majorHAnsi" w:hAnsiTheme="majorHAnsi" w:cstheme="minorHAnsi"/>
          <w:b/>
          <w:sz w:val="28"/>
          <w:szCs w:val="24"/>
          <w:u w:val="single"/>
        </w:rPr>
      </w:pPr>
      <w:r w:rsidRPr="00D024C7">
        <w:rPr>
          <w:rFonts w:asciiTheme="majorHAnsi" w:hAnsiTheme="majorHAnsi" w:cstheme="minorHAnsi"/>
          <w:b/>
          <w:sz w:val="28"/>
          <w:szCs w:val="24"/>
          <w:u w:val="single"/>
        </w:rPr>
        <w:t>U</w:t>
      </w:r>
      <w:r w:rsidR="006A68A4" w:rsidRPr="00D024C7">
        <w:rPr>
          <w:rFonts w:asciiTheme="majorHAnsi" w:hAnsiTheme="majorHAnsi" w:cstheme="minorHAnsi"/>
          <w:b/>
          <w:sz w:val="28"/>
          <w:szCs w:val="24"/>
          <w:u w:val="single"/>
        </w:rPr>
        <w:t>rban Health Financing, Governance and Phasing</w:t>
      </w:r>
      <w:r w:rsidR="00E01039" w:rsidRPr="00D024C7">
        <w:rPr>
          <w:rFonts w:asciiTheme="majorHAnsi" w:hAnsiTheme="majorHAnsi" w:cstheme="minorHAnsi"/>
          <w:b/>
          <w:sz w:val="28"/>
          <w:szCs w:val="24"/>
          <w:u w:val="single"/>
        </w:rPr>
        <w:t xml:space="preserve">: Review of Official Documents </w:t>
      </w:r>
    </w:p>
    <w:p w:rsidR="006A68A4" w:rsidRPr="006A68A4" w:rsidRDefault="006A68A4" w:rsidP="006A68A4">
      <w:pPr>
        <w:pStyle w:val="ListParagraph"/>
        <w:spacing w:line="264" w:lineRule="auto"/>
        <w:jc w:val="center"/>
        <w:rPr>
          <w:rFonts w:asciiTheme="majorHAnsi" w:hAnsiTheme="majorHAnsi" w:cstheme="minorHAnsi"/>
          <w:b/>
          <w:sz w:val="24"/>
          <w:szCs w:val="24"/>
        </w:rPr>
      </w:pPr>
    </w:p>
    <w:p w:rsidR="006A68A4" w:rsidRDefault="006A68A4" w:rsidP="006A68A4">
      <w:pPr>
        <w:spacing w:line="264" w:lineRule="auto"/>
        <w:contextualSpacing/>
        <w:jc w:val="both"/>
        <w:rPr>
          <w:rFonts w:asciiTheme="majorHAnsi" w:hAnsiTheme="majorHAnsi" w:cstheme="minorHAnsi"/>
          <w:b/>
          <w:bCs/>
          <w:sz w:val="24"/>
          <w:szCs w:val="24"/>
        </w:rPr>
      </w:pPr>
      <w:r w:rsidRPr="006A68A4">
        <w:rPr>
          <w:rFonts w:asciiTheme="majorHAnsi" w:hAnsiTheme="majorHAnsi" w:cstheme="minorHAnsi"/>
          <w:b/>
          <w:bCs/>
          <w:sz w:val="24"/>
          <w:szCs w:val="24"/>
        </w:rPr>
        <w:t>1) Report of National Commission on Macroeconomics and Health (2005) &amp; Report of the working group on health care financing including health insurance for the 11th five year plan:</w:t>
      </w:r>
    </w:p>
    <w:p w:rsidR="00E01039" w:rsidRPr="006A68A4" w:rsidRDefault="00E01039" w:rsidP="006A68A4">
      <w:pPr>
        <w:spacing w:line="264" w:lineRule="auto"/>
        <w:contextualSpacing/>
        <w:jc w:val="both"/>
        <w:rPr>
          <w:rFonts w:asciiTheme="majorHAnsi" w:hAnsiTheme="majorHAnsi" w:cstheme="minorHAnsi"/>
          <w:b/>
          <w:bCs/>
          <w:sz w:val="24"/>
          <w:szCs w:val="24"/>
        </w:rPr>
      </w:pPr>
    </w:p>
    <w:p w:rsidR="006A68A4" w:rsidRDefault="006A68A4" w:rsidP="006A68A4">
      <w:pPr>
        <w:spacing w:line="264" w:lineRule="auto"/>
        <w:contextualSpacing/>
        <w:jc w:val="both"/>
        <w:rPr>
          <w:rFonts w:asciiTheme="majorHAnsi" w:hAnsiTheme="majorHAnsi" w:cstheme="minorHAnsi"/>
          <w:i/>
          <w:sz w:val="24"/>
          <w:szCs w:val="24"/>
        </w:rPr>
      </w:pPr>
      <w:r w:rsidRPr="006A68A4">
        <w:rPr>
          <w:rFonts w:asciiTheme="majorHAnsi" w:hAnsiTheme="majorHAnsi" w:cstheme="minorHAnsi"/>
          <w:i/>
          <w:sz w:val="24"/>
          <w:szCs w:val="24"/>
        </w:rPr>
        <w:t>What should be the modes of financing the health services guaranteed under the Health Mission?</w:t>
      </w:r>
    </w:p>
    <w:p w:rsidR="00E01039" w:rsidRPr="006A68A4" w:rsidRDefault="00E01039" w:rsidP="006A68A4">
      <w:pPr>
        <w:spacing w:line="264" w:lineRule="auto"/>
        <w:contextualSpacing/>
        <w:jc w:val="both"/>
        <w:rPr>
          <w:rFonts w:asciiTheme="majorHAnsi" w:hAnsiTheme="majorHAnsi" w:cstheme="minorHAnsi"/>
          <w:i/>
          <w:sz w:val="24"/>
          <w:szCs w:val="24"/>
        </w:rPr>
      </w:pPr>
    </w:p>
    <w:p w:rsidR="006A68A4" w:rsidRPr="006A68A4" w:rsidRDefault="006A68A4" w:rsidP="006A68A4">
      <w:pPr>
        <w:autoSpaceDE w:val="0"/>
        <w:autoSpaceDN w:val="0"/>
        <w:adjustRightInd w:val="0"/>
        <w:spacing w:after="0" w:line="264" w:lineRule="auto"/>
        <w:contextualSpacing/>
        <w:jc w:val="both"/>
        <w:rPr>
          <w:rFonts w:asciiTheme="majorHAnsi" w:hAnsiTheme="majorHAnsi" w:cstheme="minorHAnsi"/>
          <w:sz w:val="24"/>
          <w:szCs w:val="24"/>
        </w:rPr>
      </w:pPr>
      <w:r w:rsidRPr="006A68A4">
        <w:rPr>
          <w:rFonts w:asciiTheme="majorHAnsi" w:hAnsiTheme="majorHAnsi" w:cstheme="minorHAnsi"/>
          <w:sz w:val="24"/>
          <w:szCs w:val="24"/>
        </w:rPr>
        <w:t>The Planning Commission constituted a Working Group on Health Care Financing including Health Insurance for the Eleventh Plan. Recommendations on modes of financing and costs of this plan:</w:t>
      </w:r>
    </w:p>
    <w:p w:rsidR="006A68A4" w:rsidRPr="006A68A4" w:rsidRDefault="006A68A4" w:rsidP="006A68A4">
      <w:pPr>
        <w:autoSpaceDE w:val="0"/>
        <w:autoSpaceDN w:val="0"/>
        <w:adjustRightInd w:val="0"/>
        <w:spacing w:after="0" w:line="264" w:lineRule="auto"/>
        <w:contextualSpacing/>
        <w:jc w:val="both"/>
        <w:rPr>
          <w:rFonts w:asciiTheme="majorHAnsi" w:hAnsiTheme="majorHAnsi" w:cstheme="minorHAnsi"/>
          <w:sz w:val="24"/>
          <w:szCs w:val="24"/>
        </w:rPr>
      </w:pPr>
    </w:p>
    <w:p w:rsidR="006A68A4" w:rsidRPr="006A68A4" w:rsidRDefault="006A68A4" w:rsidP="006A68A4">
      <w:pPr>
        <w:autoSpaceDE w:val="0"/>
        <w:autoSpaceDN w:val="0"/>
        <w:adjustRightInd w:val="0"/>
        <w:spacing w:after="0" w:line="264" w:lineRule="auto"/>
        <w:contextualSpacing/>
        <w:jc w:val="both"/>
        <w:rPr>
          <w:rFonts w:asciiTheme="majorHAnsi" w:hAnsiTheme="majorHAnsi" w:cstheme="minorHAnsi"/>
          <w:b/>
          <w:sz w:val="24"/>
          <w:szCs w:val="24"/>
        </w:rPr>
      </w:pPr>
      <w:r w:rsidRPr="006A68A4">
        <w:rPr>
          <w:rFonts w:asciiTheme="majorHAnsi" w:hAnsiTheme="majorHAnsi" w:cstheme="minorHAnsi"/>
          <w:b/>
          <w:sz w:val="24"/>
          <w:szCs w:val="24"/>
        </w:rPr>
        <w:t>a. Increasing the public health outlays to 2.5% to 3% of GDP</w:t>
      </w:r>
    </w:p>
    <w:p w:rsidR="006A68A4" w:rsidRPr="006A68A4" w:rsidRDefault="006A68A4" w:rsidP="006A68A4">
      <w:pPr>
        <w:autoSpaceDE w:val="0"/>
        <w:autoSpaceDN w:val="0"/>
        <w:adjustRightInd w:val="0"/>
        <w:spacing w:after="0" w:line="264" w:lineRule="auto"/>
        <w:contextualSpacing/>
        <w:jc w:val="both"/>
        <w:rPr>
          <w:rFonts w:asciiTheme="majorHAnsi" w:hAnsiTheme="majorHAnsi" w:cstheme="minorHAnsi"/>
          <w:sz w:val="24"/>
          <w:szCs w:val="24"/>
        </w:rPr>
      </w:pPr>
    </w:p>
    <w:p w:rsidR="006A68A4" w:rsidRDefault="006A68A4" w:rsidP="006A68A4">
      <w:pPr>
        <w:pStyle w:val="ListParagraph"/>
        <w:numPr>
          <w:ilvl w:val="0"/>
          <w:numId w:val="14"/>
        </w:numPr>
        <w:autoSpaceDE w:val="0"/>
        <w:autoSpaceDN w:val="0"/>
        <w:adjustRightInd w:val="0"/>
        <w:spacing w:after="0" w:line="264" w:lineRule="auto"/>
        <w:jc w:val="both"/>
        <w:rPr>
          <w:rFonts w:asciiTheme="majorHAnsi" w:hAnsiTheme="majorHAnsi" w:cstheme="minorHAnsi"/>
          <w:sz w:val="24"/>
          <w:szCs w:val="24"/>
        </w:rPr>
      </w:pPr>
      <w:r w:rsidRPr="006A68A4">
        <w:rPr>
          <w:rFonts w:asciiTheme="majorHAnsi" w:hAnsiTheme="majorHAnsi" w:cstheme="minorHAnsi"/>
          <w:sz w:val="24"/>
          <w:szCs w:val="24"/>
        </w:rPr>
        <w:t xml:space="preserve">As regards costing of additional resource needs, the National Commission on Macro Economics and Health has made a detailed assessment of investment requirements, based on disease burden estimations, bare minimum standards and treatment protocols, and unit cost estimations of providing such services at government prices that are 30-50% lower than the private sector. </w:t>
      </w:r>
      <w:r w:rsidRPr="00E01039">
        <w:rPr>
          <w:rFonts w:asciiTheme="majorHAnsi" w:hAnsiTheme="majorHAnsi" w:cstheme="minorHAnsi"/>
          <w:sz w:val="24"/>
          <w:szCs w:val="24"/>
        </w:rPr>
        <w:t>The Commission has recommended additional non-recurring investment of Rs. 33,811 crores and a recurring investment of Rs. 41,006 crores for health promotion, regulatory systems, enforcement of regulations, human resources for health, training, research and development, delivery of health care services, and social health insurance.</w:t>
      </w:r>
    </w:p>
    <w:p w:rsidR="00E01039" w:rsidRPr="00E01039" w:rsidRDefault="00E01039" w:rsidP="00E01039">
      <w:pPr>
        <w:pStyle w:val="ListParagraph"/>
        <w:autoSpaceDE w:val="0"/>
        <w:autoSpaceDN w:val="0"/>
        <w:adjustRightInd w:val="0"/>
        <w:spacing w:after="0" w:line="264" w:lineRule="auto"/>
        <w:jc w:val="both"/>
        <w:rPr>
          <w:rFonts w:asciiTheme="majorHAnsi" w:hAnsiTheme="majorHAnsi" w:cstheme="minorHAnsi"/>
          <w:sz w:val="24"/>
          <w:szCs w:val="24"/>
        </w:rPr>
      </w:pPr>
    </w:p>
    <w:p w:rsidR="006A68A4" w:rsidRDefault="006A68A4" w:rsidP="006A68A4">
      <w:pPr>
        <w:pStyle w:val="ListParagraph"/>
        <w:numPr>
          <w:ilvl w:val="0"/>
          <w:numId w:val="14"/>
        </w:numPr>
        <w:spacing w:line="264" w:lineRule="auto"/>
        <w:jc w:val="both"/>
        <w:rPr>
          <w:rFonts w:asciiTheme="majorHAnsi" w:hAnsiTheme="majorHAnsi" w:cstheme="minorHAnsi"/>
          <w:sz w:val="24"/>
          <w:szCs w:val="24"/>
          <w:lang w:val="en-US"/>
        </w:rPr>
      </w:pPr>
      <w:r w:rsidRPr="006A68A4">
        <w:rPr>
          <w:rFonts w:asciiTheme="majorHAnsi" w:hAnsiTheme="majorHAnsi" w:cstheme="minorHAnsi"/>
          <w:b/>
          <w:sz w:val="24"/>
          <w:szCs w:val="24"/>
          <w:lang w:val="en-US"/>
        </w:rPr>
        <w:t>Increasing Central share in total outlays</w:t>
      </w:r>
      <w:r w:rsidRPr="006A68A4">
        <w:rPr>
          <w:rFonts w:asciiTheme="majorHAnsi" w:hAnsiTheme="majorHAnsi" w:cstheme="minorHAnsi"/>
          <w:sz w:val="24"/>
          <w:szCs w:val="24"/>
          <w:lang w:val="en-US"/>
        </w:rPr>
        <w:t>: A substantial share of the additionality indicated above will have to come from Central funds. The long term additional funding by the Central Government will significantly improve the central share in overall public expenditure on health. While doing so, the Central Government will constantly monitor the state expenditures on health to ensure that they increase in proportion to central spending in real terms.</w:t>
      </w:r>
    </w:p>
    <w:p w:rsidR="00E01039" w:rsidRPr="00E01039" w:rsidRDefault="00E01039" w:rsidP="00E01039">
      <w:pPr>
        <w:pStyle w:val="ListParagraph"/>
        <w:rPr>
          <w:rFonts w:asciiTheme="majorHAnsi" w:hAnsiTheme="majorHAnsi" w:cstheme="minorHAnsi"/>
          <w:sz w:val="24"/>
          <w:szCs w:val="24"/>
          <w:lang w:val="en-US"/>
        </w:rPr>
      </w:pPr>
    </w:p>
    <w:p w:rsidR="006A68A4" w:rsidRDefault="006A68A4" w:rsidP="006A68A4">
      <w:pPr>
        <w:pStyle w:val="ListParagraph"/>
        <w:numPr>
          <w:ilvl w:val="0"/>
          <w:numId w:val="14"/>
        </w:numPr>
        <w:spacing w:line="264" w:lineRule="auto"/>
        <w:jc w:val="both"/>
        <w:rPr>
          <w:rFonts w:asciiTheme="majorHAnsi" w:hAnsiTheme="majorHAnsi" w:cstheme="minorHAnsi"/>
          <w:sz w:val="24"/>
          <w:szCs w:val="24"/>
          <w:lang w:val="en-US"/>
        </w:rPr>
      </w:pPr>
      <w:r w:rsidRPr="006A68A4">
        <w:rPr>
          <w:rFonts w:asciiTheme="majorHAnsi" w:hAnsiTheme="majorHAnsi" w:cstheme="minorHAnsi"/>
          <w:b/>
          <w:sz w:val="24"/>
          <w:szCs w:val="24"/>
          <w:lang w:val="en-US"/>
        </w:rPr>
        <w:t>Incrementing State health budgets</w:t>
      </w:r>
      <w:r w:rsidRPr="006A68A4">
        <w:rPr>
          <w:rFonts w:asciiTheme="majorHAnsi" w:hAnsiTheme="majorHAnsi" w:cstheme="minorHAnsi"/>
          <w:sz w:val="24"/>
          <w:szCs w:val="24"/>
          <w:lang w:val="en-US"/>
        </w:rPr>
        <w:t>: Given the absorptive capacity in the States and the time it may take to improve the implementation capacity, it should be fair to assume an annual 30% increase in health sector allocations up to 2007-08 and an annual increase of 40% from 2009-201o to 2011-12.</w:t>
      </w:r>
    </w:p>
    <w:p w:rsidR="00E01039" w:rsidRPr="00E01039" w:rsidRDefault="00E01039" w:rsidP="00E01039">
      <w:pPr>
        <w:pStyle w:val="ListParagraph"/>
        <w:rPr>
          <w:rFonts w:asciiTheme="majorHAnsi" w:hAnsiTheme="majorHAnsi" w:cstheme="minorHAnsi"/>
          <w:sz w:val="24"/>
          <w:szCs w:val="24"/>
          <w:lang w:val="en-US"/>
        </w:rPr>
      </w:pPr>
    </w:p>
    <w:p w:rsidR="006A68A4" w:rsidRPr="00E01039" w:rsidRDefault="006A68A4" w:rsidP="006A68A4">
      <w:pPr>
        <w:pStyle w:val="ListParagraph"/>
        <w:numPr>
          <w:ilvl w:val="0"/>
          <w:numId w:val="14"/>
        </w:numPr>
        <w:spacing w:line="264" w:lineRule="auto"/>
        <w:jc w:val="both"/>
        <w:rPr>
          <w:rFonts w:asciiTheme="majorHAnsi" w:hAnsiTheme="majorHAnsi" w:cstheme="minorHAnsi"/>
          <w:sz w:val="24"/>
          <w:szCs w:val="24"/>
        </w:rPr>
      </w:pPr>
      <w:r w:rsidRPr="006A68A4">
        <w:rPr>
          <w:rFonts w:asciiTheme="majorHAnsi" w:hAnsiTheme="majorHAnsi" w:cstheme="minorHAnsi"/>
          <w:b/>
          <w:sz w:val="24"/>
          <w:szCs w:val="24"/>
        </w:rPr>
        <w:t>Other options to raise additional resources</w:t>
      </w:r>
      <w:r w:rsidRPr="006A68A4">
        <w:rPr>
          <w:rFonts w:asciiTheme="majorHAnsi" w:hAnsiTheme="majorHAnsi" w:cstheme="minorHAnsi"/>
          <w:sz w:val="24"/>
          <w:szCs w:val="24"/>
        </w:rPr>
        <w:t xml:space="preserve">: It could be various forms of innovative direct taxes like a health tax similar to profession tax (which funds employment guarantee) deducted at source of income for employed and in trading transactions for self-employed. Using the Tobin tax route is a highly progressive form of taxation which in an increasingly service sector based economy can </w:t>
      </w:r>
      <w:r w:rsidRPr="006A68A4">
        <w:rPr>
          <w:rFonts w:asciiTheme="majorHAnsi" w:hAnsiTheme="majorHAnsi" w:cstheme="minorHAnsi"/>
          <w:sz w:val="24"/>
          <w:szCs w:val="24"/>
        </w:rPr>
        <w:lastRenderedPageBreak/>
        <w:t xml:space="preserve">generate huge resources without being taxing on the individual as it is a very small amount of deduction at the point of transaction. What this basically means is that for every financial transaction, whether cheque, credit card, cash, stock market, forex etc. a very small proportion is deducted as tax and </w:t>
      </w:r>
      <w:r w:rsidRPr="006A68A4">
        <w:rPr>
          <w:rFonts w:asciiTheme="majorHAnsi" w:hAnsiTheme="majorHAnsi" w:cstheme="minorHAnsi"/>
          <w:sz w:val="24"/>
          <w:szCs w:val="24"/>
          <w:lang w:val="en-US"/>
        </w:rPr>
        <w:t xml:space="preserve">transferred to a fund earmarked for social sector. </w:t>
      </w:r>
      <w:r w:rsidRPr="006A68A4">
        <w:rPr>
          <w:rFonts w:asciiTheme="majorHAnsi" w:hAnsiTheme="majorHAnsi" w:cstheme="minorHAnsi"/>
          <w:sz w:val="24"/>
          <w:szCs w:val="24"/>
        </w:rPr>
        <w:t xml:space="preserve">Levying “sin taxes” - compulsory cesses and levies on products such as cigarettes, beedis, alcohol, pann masalas and guthka, personal vehicles etc. that directly </w:t>
      </w:r>
      <w:r w:rsidRPr="006A68A4">
        <w:rPr>
          <w:rFonts w:asciiTheme="majorHAnsi" w:hAnsiTheme="majorHAnsi" w:cstheme="minorHAnsi"/>
          <w:sz w:val="24"/>
          <w:szCs w:val="24"/>
          <w:lang w:val="en-US"/>
        </w:rPr>
        <w:t>contribute to enhancing health risks, that are also extremely expensive to treat could be another method for innovative financing.</w:t>
      </w:r>
    </w:p>
    <w:p w:rsidR="00E01039" w:rsidRPr="006A68A4" w:rsidRDefault="00E01039" w:rsidP="00E01039">
      <w:pPr>
        <w:pStyle w:val="ListParagraph"/>
        <w:spacing w:line="264" w:lineRule="auto"/>
        <w:jc w:val="both"/>
        <w:rPr>
          <w:rFonts w:asciiTheme="majorHAnsi" w:hAnsiTheme="majorHAnsi" w:cstheme="minorHAnsi"/>
          <w:sz w:val="24"/>
          <w:szCs w:val="24"/>
        </w:rPr>
      </w:pPr>
    </w:p>
    <w:p w:rsidR="0043366E" w:rsidRDefault="006A68A4" w:rsidP="006A68A4">
      <w:pPr>
        <w:pStyle w:val="ListParagraph"/>
        <w:numPr>
          <w:ilvl w:val="0"/>
          <w:numId w:val="14"/>
        </w:numPr>
        <w:spacing w:line="264" w:lineRule="auto"/>
        <w:jc w:val="both"/>
        <w:rPr>
          <w:rFonts w:asciiTheme="majorHAnsi" w:hAnsiTheme="majorHAnsi" w:cstheme="minorHAnsi"/>
          <w:sz w:val="24"/>
          <w:szCs w:val="24"/>
        </w:rPr>
      </w:pPr>
      <w:r w:rsidRPr="006A68A4">
        <w:rPr>
          <w:rFonts w:asciiTheme="majorHAnsi" w:hAnsiTheme="majorHAnsi" w:cstheme="minorHAnsi"/>
          <w:b/>
          <w:sz w:val="24"/>
          <w:szCs w:val="24"/>
        </w:rPr>
        <w:t>Adopting Global Budgeting</w:t>
      </w:r>
      <w:r w:rsidRPr="006A68A4">
        <w:rPr>
          <w:rFonts w:asciiTheme="majorHAnsi" w:hAnsiTheme="majorHAnsi" w:cstheme="minorHAnsi"/>
          <w:sz w:val="24"/>
          <w:szCs w:val="24"/>
        </w:rPr>
        <w:t xml:space="preserve">: The working group estimated the total cost of INR 250 per capita to attain the minimum package of health services and recommended to adopt </w:t>
      </w:r>
      <w:r w:rsidRPr="006A68A4">
        <w:rPr>
          <w:rFonts w:asciiTheme="majorHAnsi" w:hAnsiTheme="majorHAnsi" w:cstheme="minorHAnsi"/>
          <w:b/>
          <w:sz w:val="24"/>
          <w:szCs w:val="24"/>
        </w:rPr>
        <w:t>Global Budgeting</w:t>
      </w:r>
      <w:r w:rsidRPr="006A68A4">
        <w:rPr>
          <w:rFonts w:asciiTheme="majorHAnsi" w:hAnsiTheme="majorHAnsi" w:cstheme="minorHAnsi"/>
          <w:sz w:val="24"/>
          <w:szCs w:val="24"/>
        </w:rPr>
        <w:t xml:space="preserve"> within the existing public finance of healthcare to bring about substantial equity in reducing geographical inequities between rural and urban areas. Presently, the central and state governments together spend Rs.250 per capita at the national level, but this is inequitably allocated between urban and rural areas. The rural healthcare system gets only Rs.120 per capita and urban areas get Rs.560 per capita, a difference of over 4 ½ times. </w:t>
      </w:r>
    </w:p>
    <w:p w:rsidR="0043366E" w:rsidRPr="0043366E" w:rsidRDefault="0043366E" w:rsidP="0043366E">
      <w:pPr>
        <w:pStyle w:val="ListParagraph"/>
        <w:rPr>
          <w:rFonts w:asciiTheme="majorHAnsi" w:hAnsiTheme="majorHAnsi" w:cstheme="minorHAnsi"/>
          <w:sz w:val="24"/>
          <w:szCs w:val="24"/>
        </w:rPr>
      </w:pPr>
    </w:p>
    <w:p w:rsidR="006A68A4" w:rsidRDefault="006A68A4" w:rsidP="0043366E">
      <w:pPr>
        <w:pStyle w:val="ListParagraph"/>
        <w:spacing w:line="264" w:lineRule="auto"/>
        <w:jc w:val="both"/>
        <w:rPr>
          <w:rFonts w:asciiTheme="majorHAnsi" w:hAnsiTheme="majorHAnsi" w:cstheme="minorHAnsi"/>
          <w:sz w:val="24"/>
          <w:szCs w:val="24"/>
        </w:rPr>
      </w:pPr>
      <w:r w:rsidRPr="006A68A4">
        <w:rPr>
          <w:rFonts w:asciiTheme="majorHAnsi" w:hAnsiTheme="majorHAnsi" w:cstheme="minorHAnsi"/>
          <w:sz w:val="24"/>
          <w:szCs w:val="24"/>
        </w:rPr>
        <w:t xml:space="preserve">If allocations are made using the mechanism of global budgeting, as is done in Canada for instance, that is on a per capita basis then rural and urban areas will both get Rs.250 per capita. The urban areas in addition have municipal resources, and of course will have to generate more resources to maintain their health care systems which at least in terms of numbers (like hospital bed : population ratios and doctor : population ratios) are adequately provided for. Global budgeting also means autonomy in how resources are used at the local level. </w:t>
      </w:r>
    </w:p>
    <w:p w:rsidR="00E01039" w:rsidRPr="006A68A4" w:rsidRDefault="00E01039" w:rsidP="00E01039">
      <w:pPr>
        <w:pStyle w:val="ListParagraph"/>
        <w:spacing w:line="264" w:lineRule="auto"/>
        <w:jc w:val="both"/>
        <w:rPr>
          <w:rFonts w:asciiTheme="majorHAnsi" w:hAnsiTheme="majorHAnsi" w:cstheme="minorHAnsi"/>
          <w:sz w:val="24"/>
          <w:szCs w:val="24"/>
        </w:rPr>
      </w:pPr>
    </w:p>
    <w:p w:rsidR="006A68A4" w:rsidRDefault="006A68A4" w:rsidP="006A68A4">
      <w:pPr>
        <w:pStyle w:val="ListParagraph"/>
        <w:numPr>
          <w:ilvl w:val="0"/>
          <w:numId w:val="14"/>
        </w:numPr>
        <w:autoSpaceDE w:val="0"/>
        <w:autoSpaceDN w:val="0"/>
        <w:adjustRightInd w:val="0"/>
        <w:spacing w:after="0" w:line="264" w:lineRule="auto"/>
        <w:jc w:val="both"/>
        <w:rPr>
          <w:rFonts w:asciiTheme="majorHAnsi" w:hAnsiTheme="majorHAnsi" w:cstheme="minorHAnsi"/>
          <w:sz w:val="24"/>
          <w:szCs w:val="24"/>
        </w:rPr>
      </w:pPr>
      <w:r w:rsidRPr="006A68A4">
        <w:rPr>
          <w:rFonts w:asciiTheme="majorHAnsi" w:hAnsiTheme="majorHAnsi" w:cstheme="minorHAnsi"/>
          <w:b/>
          <w:sz w:val="24"/>
          <w:szCs w:val="24"/>
        </w:rPr>
        <w:t>Financial Integration of all national health programmes</w:t>
      </w:r>
      <w:r w:rsidRPr="006A68A4">
        <w:rPr>
          <w:rFonts w:asciiTheme="majorHAnsi" w:hAnsiTheme="majorHAnsi" w:cstheme="minorHAnsi"/>
          <w:sz w:val="24"/>
          <w:szCs w:val="24"/>
        </w:rPr>
        <w:t>- Such integration is expected to bring down duplication of services and make better use of existing resources. Optimizing existing resources and infrastructure will alone release an estimated 30% of existing budgetary outlays for alternative use.</w:t>
      </w:r>
    </w:p>
    <w:p w:rsidR="00E01039" w:rsidRPr="00E01039" w:rsidRDefault="00E01039" w:rsidP="00E01039">
      <w:pPr>
        <w:pStyle w:val="ListParagraph"/>
        <w:rPr>
          <w:rFonts w:asciiTheme="majorHAnsi" w:hAnsiTheme="majorHAnsi" w:cstheme="minorHAnsi"/>
          <w:sz w:val="24"/>
          <w:szCs w:val="24"/>
        </w:rPr>
      </w:pPr>
    </w:p>
    <w:p w:rsidR="006A68A4" w:rsidRPr="0043366E" w:rsidRDefault="006A68A4" w:rsidP="006A68A4">
      <w:pPr>
        <w:pStyle w:val="ListParagraph"/>
        <w:numPr>
          <w:ilvl w:val="0"/>
          <w:numId w:val="14"/>
        </w:numPr>
        <w:spacing w:line="264" w:lineRule="auto"/>
        <w:jc w:val="both"/>
        <w:rPr>
          <w:rFonts w:asciiTheme="majorHAnsi" w:hAnsiTheme="majorHAnsi" w:cstheme="minorHAnsi"/>
          <w:b/>
          <w:bCs/>
          <w:sz w:val="24"/>
          <w:szCs w:val="24"/>
          <w:lang w:val="en-US"/>
        </w:rPr>
      </w:pPr>
      <w:r w:rsidRPr="006A68A4">
        <w:rPr>
          <w:rFonts w:asciiTheme="majorHAnsi" w:hAnsiTheme="majorHAnsi" w:cstheme="minorHAnsi"/>
          <w:b/>
          <w:bCs/>
          <w:sz w:val="24"/>
          <w:szCs w:val="24"/>
          <w:lang w:val="en-US"/>
        </w:rPr>
        <w:t xml:space="preserve">Availability of Drugs through PPPs </w:t>
      </w:r>
      <w:r w:rsidRPr="006A68A4">
        <w:rPr>
          <w:rFonts w:asciiTheme="majorHAnsi" w:hAnsiTheme="majorHAnsi" w:cstheme="minorHAnsi"/>
          <w:sz w:val="24"/>
          <w:szCs w:val="24"/>
          <w:lang w:val="en-US"/>
        </w:rPr>
        <w:t>In order to provide cheaper medicines to the common man, MRS in Rajasthan has established outlets known as life-line fluid stores opened within the hospital premises, providing medicines free of cost to BPL families. PPP initiatives can be started in collaboration with pharmaceutical companies, private pharmacies and govt. hospitals.</w:t>
      </w:r>
    </w:p>
    <w:p w:rsidR="0043366E" w:rsidRPr="0043366E" w:rsidRDefault="0043366E" w:rsidP="0043366E">
      <w:pPr>
        <w:pStyle w:val="ListParagraph"/>
        <w:rPr>
          <w:rFonts w:asciiTheme="majorHAnsi" w:hAnsiTheme="majorHAnsi" w:cstheme="minorHAnsi"/>
          <w:b/>
          <w:bCs/>
          <w:sz w:val="24"/>
          <w:szCs w:val="24"/>
          <w:lang w:val="en-US"/>
        </w:rPr>
      </w:pPr>
    </w:p>
    <w:p w:rsidR="0043366E" w:rsidRDefault="0043366E" w:rsidP="0043366E">
      <w:pPr>
        <w:pStyle w:val="ListParagraph"/>
        <w:spacing w:line="264" w:lineRule="auto"/>
        <w:jc w:val="both"/>
        <w:rPr>
          <w:rFonts w:asciiTheme="majorHAnsi" w:hAnsiTheme="majorHAnsi" w:cstheme="minorHAnsi"/>
          <w:b/>
          <w:bCs/>
          <w:sz w:val="24"/>
          <w:szCs w:val="24"/>
          <w:lang w:val="en-US"/>
        </w:rPr>
      </w:pPr>
    </w:p>
    <w:p w:rsidR="0043366E" w:rsidRPr="006A68A4" w:rsidRDefault="0043366E" w:rsidP="0043366E">
      <w:pPr>
        <w:pStyle w:val="ListParagraph"/>
        <w:spacing w:line="264" w:lineRule="auto"/>
        <w:jc w:val="both"/>
        <w:rPr>
          <w:rFonts w:asciiTheme="majorHAnsi" w:hAnsiTheme="majorHAnsi" w:cstheme="minorHAnsi"/>
          <w:b/>
          <w:bCs/>
          <w:sz w:val="24"/>
          <w:szCs w:val="24"/>
          <w:lang w:val="en-US"/>
        </w:rPr>
      </w:pPr>
    </w:p>
    <w:p w:rsidR="006A68A4" w:rsidRPr="006A68A4" w:rsidRDefault="006A68A4" w:rsidP="006A68A4">
      <w:pPr>
        <w:pStyle w:val="ListParagraph"/>
        <w:autoSpaceDE w:val="0"/>
        <w:autoSpaceDN w:val="0"/>
        <w:adjustRightInd w:val="0"/>
        <w:spacing w:after="0" w:line="264" w:lineRule="auto"/>
        <w:jc w:val="both"/>
        <w:rPr>
          <w:rFonts w:asciiTheme="majorHAnsi" w:hAnsiTheme="majorHAnsi" w:cstheme="minorHAnsi"/>
          <w:sz w:val="24"/>
          <w:szCs w:val="24"/>
        </w:rPr>
      </w:pPr>
    </w:p>
    <w:p w:rsidR="006A68A4" w:rsidRPr="006A68A4" w:rsidRDefault="006A68A4" w:rsidP="006A68A4">
      <w:pPr>
        <w:autoSpaceDE w:val="0"/>
        <w:autoSpaceDN w:val="0"/>
        <w:adjustRightInd w:val="0"/>
        <w:spacing w:after="0" w:line="264" w:lineRule="auto"/>
        <w:contextualSpacing/>
        <w:jc w:val="both"/>
        <w:rPr>
          <w:rFonts w:asciiTheme="majorHAnsi" w:hAnsiTheme="majorHAnsi" w:cstheme="minorHAnsi"/>
          <w:b/>
          <w:sz w:val="24"/>
          <w:szCs w:val="24"/>
        </w:rPr>
      </w:pPr>
      <w:r w:rsidRPr="006A68A4">
        <w:rPr>
          <w:rFonts w:asciiTheme="majorHAnsi" w:hAnsiTheme="majorHAnsi" w:cstheme="minorHAnsi"/>
          <w:b/>
          <w:sz w:val="24"/>
          <w:szCs w:val="24"/>
        </w:rPr>
        <w:t>b. Community based health insurance for risk pooling</w:t>
      </w:r>
    </w:p>
    <w:p w:rsidR="006A68A4" w:rsidRPr="006A68A4" w:rsidRDefault="006A68A4" w:rsidP="006A68A4">
      <w:pPr>
        <w:autoSpaceDE w:val="0"/>
        <w:autoSpaceDN w:val="0"/>
        <w:adjustRightInd w:val="0"/>
        <w:spacing w:after="0" w:line="264" w:lineRule="auto"/>
        <w:contextualSpacing/>
        <w:jc w:val="both"/>
        <w:rPr>
          <w:rFonts w:asciiTheme="majorHAnsi" w:hAnsiTheme="majorHAnsi" w:cstheme="minorHAnsi"/>
          <w:b/>
          <w:sz w:val="24"/>
          <w:szCs w:val="24"/>
        </w:rPr>
      </w:pPr>
    </w:p>
    <w:p w:rsidR="006A68A4" w:rsidRDefault="006A68A4" w:rsidP="006A68A4">
      <w:pPr>
        <w:pStyle w:val="ListParagraph"/>
        <w:numPr>
          <w:ilvl w:val="0"/>
          <w:numId w:val="15"/>
        </w:numPr>
        <w:autoSpaceDE w:val="0"/>
        <w:autoSpaceDN w:val="0"/>
        <w:adjustRightInd w:val="0"/>
        <w:spacing w:after="0" w:line="264" w:lineRule="auto"/>
        <w:jc w:val="both"/>
        <w:rPr>
          <w:rFonts w:asciiTheme="majorHAnsi" w:hAnsiTheme="majorHAnsi" w:cstheme="minorHAnsi"/>
          <w:sz w:val="24"/>
          <w:szCs w:val="24"/>
        </w:rPr>
      </w:pPr>
      <w:r w:rsidRPr="006A68A4">
        <w:rPr>
          <w:rFonts w:asciiTheme="majorHAnsi" w:hAnsiTheme="majorHAnsi" w:cstheme="minorHAnsi"/>
          <w:sz w:val="24"/>
          <w:szCs w:val="24"/>
        </w:rPr>
        <w:t>The CBHI models which this report quotes as one of the impressive model is SEWA in Gujarat. SEWA’s experience over 14 years based on insuring over 140,000 workers. The experience of SEWA with health insurance has encouraged the development of a “cashless” system with providers, both public and private, enabling women and their families to seek quality care of their choice without having to pay upfront immediately. This new system is being tested out in eight talukas in Gujarat, as well as two working class neighbourhoods of Ahmedabad city.</w:t>
      </w:r>
    </w:p>
    <w:p w:rsidR="00E01039" w:rsidRPr="006A68A4" w:rsidRDefault="00E01039" w:rsidP="00E01039">
      <w:pPr>
        <w:pStyle w:val="ListParagraph"/>
        <w:autoSpaceDE w:val="0"/>
        <w:autoSpaceDN w:val="0"/>
        <w:adjustRightInd w:val="0"/>
        <w:spacing w:after="0" w:line="264" w:lineRule="auto"/>
        <w:jc w:val="both"/>
        <w:rPr>
          <w:rFonts w:asciiTheme="majorHAnsi" w:hAnsiTheme="majorHAnsi" w:cstheme="minorHAnsi"/>
          <w:sz w:val="24"/>
          <w:szCs w:val="24"/>
        </w:rPr>
      </w:pPr>
    </w:p>
    <w:p w:rsidR="006A68A4" w:rsidRDefault="006A68A4" w:rsidP="006A68A4">
      <w:pPr>
        <w:pStyle w:val="ListParagraph"/>
        <w:numPr>
          <w:ilvl w:val="0"/>
          <w:numId w:val="15"/>
        </w:numPr>
        <w:spacing w:line="264" w:lineRule="auto"/>
        <w:jc w:val="both"/>
        <w:rPr>
          <w:rFonts w:asciiTheme="majorHAnsi" w:hAnsiTheme="majorHAnsi" w:cstheme="minorHAnsi"/>
          <w:sz w:val="24"/>
          <w:szCs w:val="24"/>
          <w:lang w:val="en-US"/>
        </w:rPr>
      </w:pPr>
      <w:r w:rsidRPr="006A68A4">
        <w:rPr>
          <w:rFonts w:asciiTheme="majorHAnsi" w:hAnsiTheme="majorHAnsi" w:cstheme="minorHAnsi"/>
          <w:sz w:val="24"/>
          <w:szCs w:val="24"/>
        </w:rPr>
        <w:t xml:space="preserve">It recommended to appoint a body that will take the responsibility of organising the health insurance programme – could be an independent Health Insurance Corporation, or a cell in the Dept. of H &amp; FW, a separate trust, or a NGO. Examine the feasibility of organizing large risk pools by combining the organized sector with the organized elements in the informal sector such as cooperatives, self help groups etc. </w:t>
      </w:r>
      <w:r w:rsidRPr="006A68A4">
        <w:rPr>
          <w:rFonts w:asciiTheme="majorHAnsi" w:hAnsiTheme="majorHAnsi" w:cstheme="minorHAnsi"/>
          <w:sz w:val="24"/>
          <w:szCs w:val="24"/>
          <w:lang w:val="en-US"/>
        </w:rPr>
        <w:t>Promote health insurance schemes by Involving network of co-operatives as in Karnataka. Constitute risk pools around professional or occupational groups like self help groups or micro credit groups, weavers, fishermen, farmers, agricultural laborers and other informal groups (as in Kozhikod, Kerala).</w:t>
      </w:r>
    </w:p>
    <w:p w:rsidR="0043366E" w:rsidRPr="0043366E" w:rsidRDefault="0043366E" w:rsidP="0043366E">
      <w:pPr>
        <w:pStyle w:val="ListParagraph"/>
        <w:rPr>
          <w:rFonts w:asciiTheme="majorHAnsi" w:hAnsiTheme="majorHAnsi" w:cstheme="minorHAnsi"/>
          <w:sz w:val="24"/>
          <w:szCs w:val="24"/>
          <w:lang w:val="en-US"/>
        </w:rPr>
      </w:pPr>
    </w:p>
    <w:p w:rsidR="0043366E" w:rsidRPr="006A68A4" w:rsidRDefault="0043366E" w:rsidP="0043366E">
      <w:pPr>
        <w:pStyle w:val="ListParagraph"/>
        <w:spacing w:line="264" w:lineRule="auto"/>
        <w:jc w:val="both"/>
        <w:rPr>
          <w:rFonts w:asciiTheme="majorHAnsi" w:hAnsiTheme="majorHAnsi" w:cstheme="minorHAnsi"/>
          <w:sz w:val="24"/>
          <w:szCs w:val="24"/>
          <w:lang w:val="en-US"/>
        </w:rPr>
      </w:pPr>
    </w:p>
    <w:p w:rsidR="006A68A4" w:rsidRDefault="006A68A4" w:rsidP="006A68A4">
      <w:pPr>
        <w:autoSpaceDE w:val="0"/>
        <w:autoSpaceDN w:val="0"/>
        <w:adjustRightInd w:val="0"/>
        <w:spacing w:after="0" w:line="264" w:lineRule="auto"/>
        <w:contextualSpacing/>
        <w:jc w:val="both"/>
        <w:rPr>
          <w:rFonts w:asciiTheme="majorHAnsi" w:hAnsiTheme="majorHAnsi" w:cstheme="minorHAnsi"/>
          <w:b/>
          <w:sz w:val="24"/>
          <w:szCs w:val="24"/>
        </w:rPr>
      </w:pPr>
      <w:r w:rsidRPr="006A68A4">
        <w:rPr>
          <w:rFonts w:asciiTheme="majorHAnsi" w:hAnsiTheme="majorHAnsi" w:cstheme="minorHAnsi"/>
          <w:b/>
          <w:sz w:val="24"/>
          <w:szCs w:val="24"/>
        </w:rPr>
        <w:t>c. Decentralized funding (Learnings from NRHM)</w:t>
      </w:r>
    </w:p>
    <w:p w:rsidR="0043366E" w:rsidRPr="006A68A4" w:rsidRDefault="0043366E" w:rsidP="006A68A4">
      <w:pPr>
        <w:autoSpaceDE w:val="0"/>
        <w:autoSpaceDN w:val="0"/>
        <w:adjustRightInd w:val="0"/>
        <w:spacing w:after="0" w:line="264" w:lineRule="auto"/>
        <w:contextualSpacing/>
        <w:jc w:val="both"/>
        <w:rPr>
          <w:rFonts w:asciiTheme="majorHAnsi" w:hAnsiTheme="majorHAnsi" w:cstheme="minorHAnsi"/>
          <w:b/>
          <w:sz w:val="24"/>
          <w:szCs w:val="24"/>
        </w:rPr>
      </w:pPr>
    </w:p>
    <w:p w:rsidR="006A68A4" w:rsidRPr="006A68A4" w:rsidRDefault="006A68A4" w:rsidP="006A68A4">
      <w:pPr>
        <w:pStyle w:val="ListParagraph"/>
        <w:numPr>
          <w:ilvl w:val="0"/>
          <w:numId w:val="13"/>
        </w:numPr>
        <w:autoSpaceDE w:val="0"/>
        <w:autoSpaceDN w:val="0"/>
        <w:adjustRightInd w:val="0"/>
        <w:spacing w:after="0" w:line="264" w:lineRule="auto"/>
        <w:jc w:val="both"/>
        <w:rPr>
          <w:rFonts w:asciiTheme="majorHAnsi" w:hAnsiTheme="majorHAnsi" w:cstheme="minorHAnsi"/>
          <w:sz w:val="24"/>
          <w:szCs w:val="24"/>
        </w:rPr>
      </w:pPr>
      <w:r w:rsidRPr="006A68A4">
        <w:rPr>
          <w:rFonts w:asciiTheme="majorHAnsi" w:hAnsiTheme="majorHAnsi" w:cstheme="minorHAnsi"/>
          <w:sz w:val="24"/>
          <w:szCs w:val="24"/>
        </w:rPr>
        <w:t>Strengthening of management capacity at all levels, with equal emphasis on skill development and development of the required human resources for coping future health challenges</w:t>
      </w:r>
    </w:p>
    <w:p w:rsidR="006A68A4" w:rsidRPr="006A68A4" w:rsidRDefault="006A68A4" w:rsidP="006A68A4">
      <w:pPr>
        <w:pStyle w:val="ListParagraph"/>
        <w:numPr>
          <w:ilvl w:val="0"/>
          <w:numId w:val="13"/>
        </w:numPr>
        <w:spacing w:line="264" w:lineRule="auto"/>
        <w:jc w:val="both"/>
        <w:rPr>
          <w:rFonts w:asciiTheme="majorHAnsi" w:hAnsiTheme="majorHAnsi" w:cstheme="minorHAnsi"/>
          <w:sz w:val="24"/>
          <w:szCs w:val="24"/>
          <w:lang w:val="en-US"/>
        </w:rPr>
      </w:pPr>
      <w:r w:rsidRPr="006A68A4">
        <w:rPr>
          <w:rFonts w:asciiTheme="majorHAnsi" w:hAnsiTheme="majorHAnsi" w:cstheme="minorHAnsi"/>
          <w:sz w:val="24"/>
          <w:szCs w:val="24"/>
          <w:lang w:val="en-US"/>
        </w:rPr>
        <w:t>Improved financial management by providing flexibility and making it performance and outcome based;</w:t>
      </w:r>
    </w:p>
    <w:p w:rsidR="006A68A4" w:rsidRPr="006A68A4" w:rsidRDefault="006A68A4" w:rsidP="006A68A4">
      <w:pPr>
        <w:pStyle w:val="ListParagraph"/>
        <w:numPr>
          <w:ilvl w:val="0"/>
          <w:numId w:val="13"/>
        </w:numPr>
        <w:spacing w:line="264" w:lineRule="auto"/>
        <w:jc w:val="both"/>
        <w:rPr>
          <w:rFonts w:asciiTheme="majorHAnsi" w:hAnsiTheme="majorHAnsi" w:cstheme="minorHAnsi"/>
          <w:sz w:val="24"/>
          <w:szCs w:val="24"/>
        </w:rPr>
      </w:pPr>
      <w:r w:rsidRPr="006A68A4">
        <w:rPr>
          <w:rFonts w:asciiTheme="majorHAnsi" w:hAnsiTheme="majorHAnsi" w:cstheme="minorHAnsi"/>
          <w:sz w:val="24"/>
          <w:szCs w:val="24"/>
          <w:lang w:val="en-US"/>
        </w:rPr>
        <w:t xml:space="preserve">Improved delivery of services based on the recognition of the need to guarantee a minimum package of services to every citizen at all the levels of care. </w:t>
      </w:r>
      <w:r w:rsidRPr="006A68A4">
        <w:rPr>
          <w:rFonts w:asciiTheme="majorHAnsi" w:hAnsiTheme="majorHAnsi" w:cstheme="minorHAnsi"/>
          <w:sz w:val="24"/>
          <w:szCs w:val="24"/>
        </w:rPr>
        <w:t xml:space="preserve">The core and basic package include childhood diseases/health conditions, maternal diseases/health conditions, blindness, leprosy, TB, Vector borne diseases, RTI/STI, preventive and promotive activities, </w:t>
      </w:r>
      <w:r w:rsidRPr="006A68A4">
        <w:rPr>
          <w:rFonts w:asciiTheme="majorHAnsi" w:hAnsiTheme="majorHAnsi" w:cstheme="minorHAnsi"/>
          <w:sz w:val="24"/>
          <w:szCs w:val="24"/>
          <w:lang w:val="en-US"/>
        </w:rPr>
        <w:t>minor injuries, other minor ailments, and snake bite.</w:t>
      </w:r>
    </w:p>
    <w:p w:rsidR="006A68A4" w:rsidRPr="006A68A4" w:rsidRDefault="006A68A4" w:rsidP="006A68A4">
      <w:pPr>
        <w:pStyle w:val="ListParagraph"/>
        <w:numPr>
          <w:ilvl w:val="0"/>
          <w:numId w:val="13"/>
        </w:numPr>
        <w:spacing w:line="264" w:lineRule="auto"/>
        <w:jc w:val="both"/>
        <w:rPr>
          <w:rFonts w:asciiTheme="majorHAnsi" w:hAnsiTheme="majorHAnsi" w:cstheme="minorHAnsi"/>
          <w:sz w:val="24"/>
          <w:szCs w:val="24"/>
          <w:lang w:val="en-US"/>
        </w:rPr>
      </w:pPr>
      <w:r w:rsidRPr="006A68A4">
        <w:rPr>
          <w:rFonts w:asciiTheme="majorHAnsi" w:hAnsiTheme="majorHAnsi" w:cstheme="minorHAnsi"/>
          <w:sz w:val="24"/>
          <w:szCs w:val="24"/>
          <w:lang w:val="en-US"/>
        </w:rPr>
        <w:t>Close monitoring based on baseline surveys and a list of critical health indicators.</w:t>
      </w:r>
    </w:p>
    <w:p w:rsidR="006A68A4" w:rsidRPr="006A68A4" w:rsidRDefault="006A68A4" w:rsidP="006A68A4">
      <w:pPr>
        <w:autoSpaceDE w:val="0"/>
        <w:autoSpaceDN w:val="0"/>
        <w:adjustRightInd w:val="0"/>
        <w:spacing w:after="0" w:line="264" w:lineRule="auto"/>
        <w:ind w:left="360"/>
        <w:contextualSpacing/>
        <w:jc w:val="both"/>
        <w:rPr>
          <w:rFonts w:asciiTheme="majorHAnsi" w:hAnsiTheme="majorHAnsi" w:cstheme="minorHAnsi"/>
          <w:b/>
          <w:bCs/>
          <w:sz w:val="24"/>
          <w:szCs w:val="24"/>
        </w:rPr>
      </w:pPr>
    </w:p>
    <w:p w:rsidR="0043366E" w:rsidRDefault="0043366E" w:rsidP="006A68A4">
      <w:pPr>
        <w:autoSpaceDE w:val="0"/>
        <w:autoSpaceDN w:val="0"/>
        <w:adjustRightInd w:val="0"/>
        <w:spacing w:after="0" w:line="264" w:lineRule="auto"/>
        <w:contextualSpacing/>
        <w:jc w:val="center"/>
        <w:rPr>
          <w:rFonts w:asciiTheme="majorHAnsi" w:hAnsiTheme="majorHAnsi" w:cstheme="minorHAnsi"/>
          <w:bCs/>
          <w:i/>
          <w:sz w:val="24"/>
          <w:szCs w:val="24"/>
          <w:lang w:val="en-IN"/>
        </w:rPr>
      </w:pPr>
    </w:p>
    <w:p w:rsidR="0043366E" w:rsidRDefault="0043366E" w:rsidP="006A68A4">
      <w:pPr>
        <w:autoSpaceDE w:val="0"/>
        <w:autoSpaceDN w:val="0"/>
        <w:adjustRightInd w:val="0"/>
        <w:spacing w:after="0" w:line="264" w:lineRule="auto"/>
        <w:contextualSpacing/>
        <w:jc w:val="center"/>
        <w:rPr>
          <w:rFonts w:asciiTheme="majorHAnsi" w:hAnsiTheme="majorHAnsi" w:cstheme="minorHAnsi"/>
          <w:bCs/>
          <w:i/>
          <w:sz w:val="24"/>
          <w:szCs w:val="24"/>
          <w:lang w:val="en-IN"/>
        </w:rPr>
      </w:pPr>
    </w:p>
    <w:p w:rsidR="0043366E" w:rsidRDefault="0043366E" w:rsidP="006A68A4">
      <w:pPr>
        <w:autoSpaceDE w:val="0"/>
        <w:autoSpaceDN w:val="0"/>
        <w:adjustRightInd w:val="0"/>
        <w:spacing w:after="0" w:line="264" w:lineRule="auto"/>
        <w:contextualSpacing/>
        <w:jc w:val="center"/>
        <w:rPr>
          <w:rFonts w:asciiTheme="majorHAnsi" w:hAnsiTheme="majorHAnsi" w:cstheme="minorHAnsi"/>
          <w:bCs/>
          <w:i/>
          <w:sz w:val="24"/>
          <w:szCs w:val="24"/>
          <w:lang w:val="en-IN"/>
        </w:rPr>
      </w:pPr>
    </w:p>
    <w:p w:rsidR="006A68A4" w:rsidRPr="006A68A4" w:rsidRDefault="006A68A4" w:rsidP="006A68A4">
      <w:pPr>
        <w:autoSpaceDE w:val="0"/>
        <w:autoSpaceDN w:val="0"/>
        <w:adjustRightInd w:val="0"/>
        <w:spacing w:after="0" w:line="264" w:lineRule="auto"/>
        <w:contextualSpacing/>
        <w:jc w:val="center"/>
        <w:rPr>
          <w:rFonts w:asciiTheme="majorHAnsi" w:hAnsiTheme="majorHAnsi" w:cstheme="minorHAnsi"/>
          <w:bCs/>
          <w:i/>
          <w:sz w:val="24"/>
          <w:szCs w:val="24"/>
          <w:lang w:val="en-IN"/>
        </w:rPr>
      </w:pPr>
      <w:r w:rsidRPr="006A68A4">
        <w:rPr>
          <w:rFonts w:asciiTheme="majorHAnsi" w:hAnsiTheme="majorHAnsi" w:cstheme="minorHAnsi"/>
          <w:bCs/>
          <w:i/>
          <w:sz w:val="24"/>
          <w:szCs w:val="24"/>
          <w:lang w:val="en-IN"/>
        </w:rPr>
        <w:t>Should primary and secondary health services for targeted urban populations be provided at cost, subsidised or free?</w:t>
      </w:r>
    </w:p>
    <w:p w:rsidR="006A68A4" w:rsidRPr="006A68A4" w:rsidRDefault="006A68A4" w:rsidP="006A68A4">
      <w:pPr>
        <w:autoSpaceDE w:val="0"/>
        <w:autoSpaceDN w:val="0"/>
        <w:adjustRightInd w:val="0"/>
        <w:spacing w:after="0" w:line="264" w:lineRule="auto"/>
        <w:ind w:left="360"/>
        <w:contextualSpacing/>
        <w:jc w:val="both"/>
        <w:rPr>
          <w:rFonts w:asciiTheme="majorHAnsi" w:hAnsiTheme="majorHAnsi" w:cstheme="minorHAnsi"/>
          <w:b/>
          <w:bCs/>
          <w:sz w:val="24"/>
          <w:szCs w:val="24"/>
        </w:rPr>
      </w:pPr>
    </w:p>
    <w:p w:rsidR="006A68A4" w:rsidRDefault="006A68A4" w:rsidP="006A68A4">
      <w:pPr>
        <w:autoSpaceDE w:val="0"/>
        <w:autoSpaceDN w:val="0"/>
        <w:adjustRightInd w:val="0"/>
        <w:spacing w:after="0" w:line="264" w:lineRule="auto"/>
        <w:contextualSpacing/>
        <w:jc w:val="both"/>
        <w:rPr>
          <w:rFonts w:asciiTheme="majorHAnsi" w:hAnsiTheme="majorHAnsi" w:cstheme="minorHAnsi"/>
          <w:b/>
          <w:bCs/>
          <w:sz w:val="24"/>
          <w:szCs w:val="24"/>
        </w:rPr>
      </w:pPr>
      <w:r w:rsidRPr="006A68A4">
        <w:rPr>
          <w:rFonts w:asciiTheme="majorHAnsi" w:hAnsiTheme="majorHAnsi" w:cstheme="minorHAnsi"/>
          <w:b/>
          <w:bCs/>
          <w:sz w:val="24"/>
          <w:szCs w:val="24"/>
        </w:rPr>
        <w:t>d. Levying of User charges</w:t>
      </w:r>
    </w:p>
    <w:p w:rsidR="00E01039" w:rsidRPr="006A68A4" w:rsidRDefault="00E01039" w:rsidP="006A68A4">
      <w:pPr>
        <w:autoSpaceDE w:val="0"/>
        <w:autoSpaceDN w:val="0"/>
        <w:adjustRightInd w:val="0"/>
        <w:spacing w:after="0" w:line="264" w:lineRule="auto"/>
        <w:contextualSpacing/>
        <w:jc w:val="both"/>
        <w:rPr>
          <w:rFonts w:asciiTheme="majorHAnsi" w:hAnsiTheme="majorHAnsi" w:cstheme="minorHAnsi"/>
          <w:b/>
          <w:bCs/>
          <w:sz w:val="24"/>
          <w:szCs w:val="24"/>
        </w:rPr>
      </w:pPr>
    </w:p>
    <w:p w:rsidR="006A68A4" w:rsidRDefault="006A68A4" w:rsidP="006A68A4">
      <w:pPr>
        <w:pStyle w:val="ListParagraph"/>
        <w:numPr>
          <w:ilvl w:val="0"/>
          <w:numId w:val="13"/>
        </w:numPr>
        <w:autoSpaceDE w:val="0"/>
        <w:autoSpaceDN w:val="0"/>
        <w:adjustRightInd w:val="0"/>
        <w:spacing w:after="0" w:line="264" w:lineRule="auto"/>
        <w:jc w:val="both"/>
        <w:rPr>
          <w:rFonts w:asciiTheme="majorHAnsi" w:hAnsiTheme="majorHAnsi" w:cstheme="minorHAnsi"/>
          <w:sz w:val="24"/>
          <w:szCs w:val="24"/>
        </w:rPr>
      </w:pPr>
      <w:r w:rsidRPr="006A68A4">
        <w:rPr>
          <w:rFonts w:asciiTheme="majorHAnsi" w:hAnsiTheme="majorHAnsi" w:cstheme="minorHAnsi"/>
          <w:b/>
          <w:sz w:val="24"/>
          <w:szCs w:val="24"/>
        </w:rPr>
        <w:t>A nominal user charges may be levied for all outpatient services provided in public health facilities.</w:t>
      </w:r>
      <w:r w:rsidRPr="006A68A4">
        <w:rPr>
          <w:rFonts w:asciiTheme="majorHAnsi" w:hAnsiTheme="majorHAnsi" w:cstheme="minorHAnsi"/>
          <w:sz w:val="24"/>
          <w:szCs w:val="24"/>
        </w:rPr>
        <w:t xml:space="preserve"> Available studies show that there is a willingness to pay for services provided in government hospitals. The poorest of the poor may be exempted from paying for services. For in-patient care, a modest user charges may be levied (based on cost of recurrent items). </w:t>
      </w:r>
    </w:p>
    <w:p w:rsidR="00EE1B28" w:rsidRPr="006A68A4" w:rsidRDefault="00EE1B28" w:rsidP="00EE1B28">
      <w:pPr>
        <w:pStyle w:val="ListParagraph"/>
        <w:autoSpaceDE w:val="0"/>
        <w:autoSpaceDN w:val="0"/>
        <w:adjustRightInd w:val="0"/>
        <w:spacing w:after="0" w:line="264" w:lineRule="auto"/>
        <w:jc w:val="both"/>
        <w:rPr>
          <w:rFonts w:asciiTheme="majorHAnsi" w:hAnsiTheme="majorHAnsi" w:cstheme="minorHAnsi"/>
          <w:sz w:val="24"/>
          <w:szCs w:val="24"/>
        </w:rPr>
      </w:pPr>
    </w:p>
    <w:p w:rsidR="006A68A4" w:rsidRDefault="006A68A4" w:rsidP="006A68A4">
      <w:pPr>
        <w:pStyle w:val="ListParagraph"/>
        <w:numPr>
          <w:ilvl w:val="0"/>
          <w:numId w:val="13"/>
        </w:numPr>
        <w:autoSpaceDE w:val="0"/>
        <w:autoSpaceDN w:val="0"/>
        <w:adjustRightInd w:val="0"/>
        <w:spacing w:after="0" w:line="264" w:lineRule="auto"/>
        <w:jc w:val="both"/>
        <w:rPr>
          <w:rFonts w:asciiTheme="majorHAnsi" w:hAnsiTheme="majorHAnsi" w:cstheme="minorHAnsi"/>
          <w:sz w:val="24"/>
          <w:szCs w:val="24"/>
        </w:rPr>
      </w:pPr>
      <w:r w:rsidRPr="006A68A4">
        <w:rPr>
          <w:rFonts w:asciiTheme="majorHAnsi" w:hAnsiTheme="majorHAnsi" w:cstheme="minorHAnsi"/>
          <w:b/>
          <w:sz w:val="24"/>
          <w:szCs w:val="24"/>
        </w:rPr>
        <w:t>The funds collected should be kept at the disposal of hospital committee</w:t>
      </w:r>
      <w:r w:rsidRPr="006A68A4">
        <w:rPr>
          <w:rFonts w:asciiTheme="majorHAnsi" w:hAnsiTheme="majorHAnsi" w:cstheme="minorHAnsi"/>
          <w:sz w:val="24"/>
          <w:szCs w:val="24"/>
        </w:rPr>
        <w:t xml:space="preserve"> and should be utilized for the improvement of service delivery. Government may provide matching grants linked to user charges collected to those facilities located in rural remote areas. </w:t>
      </w:r>
    </w:p>
    <w:p w:rsidR="00EE1B28" w:rsidRPr="00EE1B28" w:rsidRDefault="00EE1B28" w:rsidP="00EE1B28">
      <w:pPr>
        <w:pStyle w:val="ListParagraph"/>
        <w:rPr>
          <w:rFonts w:asciiTheme="majorHAnsi" w:hAnsiTheme="majorHAnsi" w:cstheme="minorHAnsi"/>
          <w:sz w:val="24"/>
          <w:szCs w:val="24"/>
        </w:rPr>
      </w:pPr>
    </w:p>
    <w:p w:rsidR="006A68A4" w:rsidRDefault="006A68A4" w:rsidP="006A68A4">
      <w:pPr>
        <w:pStyle w:val="ListParagraph"/>
        <w:numPr>
          <w:ilvl w:val="0"/>
          <w:numId w:val="13"/>
        </w:numPr>
        <w:autoSpaceDE w:val="0"/>
        <w:autoSpaceDN w:val="0"/>
        <w:adjustRightInd w:val="0"/>
        <w:spacing w:after="0" w:line="264" w:lineRule="auto"/>
        <w:jc w:val="both"/>
        <w:rPr>
          <w:rFonts w:asciiTheme="majorHAnsi" w:hAnsiTheme="majorHAnsi" w:cstheme="minorHAnsi"/>
          <w:sz w:val="24"/>
          <w:szCs w:val="24"/>
        </w:rPr>
      </w:pPr>
      <w:r w:rsidRPr="006A68A4">
        <w:rPr>
          <w:rFonts w:asciiTheme="majorHAnsi" w:hAnsiTheme="majorHAnsi" w:cstheme="minorHAnsi"/>
          <w:b/>
          <w:sz w:val="24"/>
          <w:szCs w:val="24"/>
        </w:rPr>
        <w:t>More over the exemption mechanism needs to be properly implemented. Graded user charges can be levied.</w:t>
      </w:r>
      <w:r w:rsidRPr="006A68A4">
        <w:rPr>
          <w:rFonts w:asciiTheme="majorHAnsi" w:hAnsiTheme="majorHAnsi" w:cstheme="minorHAnsi"/>
          <w:sz w:val="24"/>
          <w:szCs w:val="24"/>
        </w:rPr>
        <w:t xml:space="preserve"> Awareness should be generated among the segment of the population who are exempted from paying user charges (as the poor in some cases do not know that they have been exempted from paying charges).</w:t>
      </w:r>
    </w:p>
    <w:p w:rsidR="00EE1B28" w:rsidRPr="00EE1B28" w:rsidRDefault="00EE1B28" w:rsidP="00EE1B28">
      <w:pPr>
        <w:pStyle w:val="ListParagraph"/>
        <w:rPr>
          <w:rFonts w:asciiTheme="majorHAnsi" w:hAnsiTheme="majorHAnsi" w:cstheme="minorHAnsi"/>
          <w:sz w:val="24"/>
          <w:szCs w:val="24"/>
        </w:rPr>
      </w:pPr>
    </w:p>
    <w:p w:rsidR="006A68A4" w:rsidRDefault="006A68A4" w:rsidP="006A68A4">
      <w:pPr>
        <w:pStyle w:val="ListParagraph"/>
        <w:numPr>
          <w:ilvl w:val="0"/>
          <w:numId w:val="13"/>
        </w:numPr>
        <w:spacing w:line="264" w:lineRule="auto"/>
        <w:jc w:val="both"/>
        <w:rPr>
          <w:rFonts w:asciiTheme="majorHAnsi" w:hAnsiTheme="majorHAnsi" w:cstheme="minorHAnsi"/>
          <w:sz w:val="24"/>
          <w:szCs w:val="24"/>
          <w:lang w:val="en-US"/>
        </w:rPr>
      </w:pPr>
      <w:r w:rsidRPr="006A68A4">
        <w:rPr>
          <w:rFonts w:asciiTheme="majorHAnsi" w:hAnsiTheme="majorHAnsi" w:cstheme="minorHAnsi"/>
          <w:sz w:val="24"/>
          <w:szCs w:val="24"/>
          <w:lang w:val="en-US"/>
        </w:rPr>
        <w:t xml:space="preserve">Facilities should hold </w:t>
      </w:r>
      <w:r w:rsidRPr="006A68A4">
        <w:rPr>
          <w:rFonts w:asciiTheme="majorHAnsi" w:hAnsiTheme="majorHAnsi" w:cstheme="minorHAnsi"/>
          <w:b/>
          <w:sz w:val="24"/>
          <w:szCs w:val="24"/>
          <w:lang w:val="en-US"/>
        </w:rPr>
        <w:t>periodic and timely audit</w:t>
      </w:r>
      <w:r w:rsidRPr="006A68A4">
        <w:rPr>
          <w:rFonts w:asciiTheme="majorHAnsi" w:hAnsiTheme="majorHAnsi" w:cstheme="minorHAnsi"/>
          <w:sz w:val="24"/>
          <w:szCs w:val="24"/>
          <w:lang w:val="en-US"/>
        </w:rPr>
        <w:t xml:space="preserve"> and regular utilization reviews to identify whether user fee policy has had an adverse impact.</w:t>
      </w:r>
    </w:p>
    <w:p w:rsidR="00EE1B28" w:rsidRPr="00EE1B28" w:rsidRDefault="00EE1B28" w:rsidP="00EE1B28">
      <w:pPr>
        <w:pStyle w:val="ListParagraph"/>
        <w:rPr>
          <w:rFonts w:asciiTheme="majorHAnsi" w:hAnsiTheme="majorHAnsi" w:cstheme="minorHAnsi"/>
          <w:sz w:val="24"/>
          <w:szCs w:val="24"/>
          <w:lang w:val="en-US"/>
        </w:rPr>
      </w:pPr>
    </w:p>
    <w:p w:rsidR="006A68A4" w:rsidRPr="006A68A4" w:rsidRDefault="006A68A4" w:rsidP="006A68A4">
      <w:pPr>
        <w:pStyle w:val="ListParagraph"/>
        <w:numPr>
          <w:ilvl w:val="0"/>
          <w:numId w:val="13"/>
        </w:numPr>
        <w:spacing w:line="264" w:lineRule="auto"/>
        <w:jc w:val="both"/>
        <w:rPr>
          <w:rFonts w:asciiTheme="majorHAnsi" w:hAnsiTheme="majorHAnsi" w:cstheme="minorHAnsi"/>
          <w:sz w:val="24"/>
          <w:szCs w:val="24"/>
          <w:lang w:val="en-US"/>
        </w:rPr>
      </w:pPr>
      <w:r w:rsidRPr="006A68A4">
        <w:rPr>
          <w:rFonts w:asciiTheme="majorHAnsi" w:hAnsiTheme="majorHAnsi" w:cstheme="minorHAnsi"/>
          <w:sz w:val="24"/>
          <w:szCs w:val="24"/>
          <w:lang w:val="en-US"/>
        </w:rPr>
        <w:t>Community may be given responsibility to identify the families, which have no means to pay (eg. Tanzania). Issuing card should be made less bureaucratic.</w:t>
      </w:r>
    </w:p>
    <w:p w:rsidR="006A68A4" w:rsidRPr="006A68A4" w:rsidRDefault="006A68A4" w:rsidP="006A68A4">
      <w:pPr>
        <w:pStyle w:val="ListParagraph"/>
        <w:spacing w:line="264" w:lineRule="auto"/>
        <w:jc w:val="both"/>
        <w:rPr>
          <w:rFonts w:asciiTheme="majorHAnsi" w:hAnsiTheme="majorHAnsi" w:cstheme="minorHAnsi"/>
          <w:sz w:val="24"/>
          <w:szCs w:val="24"/>
          <w:lang w:val="en-US"/>
        </w:rPr>
      </w:pPr>
    </w:p>
    <w:p w:rsidR="006A68A4" w:rsidRDefault="006A68A4" w:rsidP="006A68A4">
      <w:pPr>
        <w:spacing w:line="264" w:lineRule="auto"/>
        <w:contextualSpacing/>
        <w:jc w:val="both"/>
        <w:rPr>
          <w:rFonts w:asciiTheme="majorHAnsi" w:hAnsiTheme="majorHAnsi" w:cstheme="minorHAnsi"/>
          <w:b/>
          <w:bCs/>
          <w:sz w:val="24"/>
          <w:szCs w:val="24"/>
        </w:rPr>
      </w:pPr>
      <w:r w:rsidRPr="006A68A4">
        <w:rPr>
          <w:rFonts w:asciiTheme="majorHAnsi" w:hAnsiTheme="majorHAnsi" w:cstheme="minorHAnsi"/>
          <w:b/>
          <w:sz w:val="24"/>
          <w:szCs w:val="24"/>
        </w:rPr>
        <w:t>2)</w:t>
      </w:r>
      <w:r w:rsidRPr="006A68A4">
        <w:rPr>
          <w:rFonts w:asciiTheme="majorHAnsi" w:hAnsiTheme="majorHAnsi" w:cstheme="minorHAnsi"/>
          <w:b/>
          <w:bCs/>
          <w:sz w:val="24"/>
          <w:szCs w:val="24"/>
        </w:rPr>
        <w:t>Report of the Working Group on National Rural Mission (NRHM) for the Twelfth Five Year Plan (2012-2017)</w:t>
      </w:r>
    </w:p>
    <w:p w:rsidR="00E01039" w:rsidRPr="006A68A4" w:rsidRDefault="00E01039" w:rsidP="006A68A4">
      <w:pPr>
        <w:spacing w:line="264" w:lineRule="auto"/>
        <w:contextualSpacing/>
        <w:jc w:val="both"/>
        <w:rPr>
          <w:rFonts w:asciiTheme="majorHAnsi" w:hAnsiTheme="majorHAnsi" w:cstheme="minorHAnsi"/>
          <w:b/>
          <w:bCs/>
          <w:sz w:val="24"/>
          <w:szCs w:val="24"/>
        </w:rPr>
      </w:pPr>
    </w:p>
    <w:p w:rsidR="006A68A4" w:rsidRDefault="006A68A4" w:rsidP="006A68A4">
      <w:pPr>
        <w:spacing w:line="264" w:lineRule="auto"/>
        <w:contextualSpacing/>
        <w:jc w:val="center"/>
        <w:rPr>
          <w:rFonts w:asciiTheme="majorHAnsi" w:hAnsiTheme="majorHAnsi" w:cstheme="minorHAnsi"/>
          <w:i/>
          <w:sz w:val="24"/>
          <w:szCs w:val="24"/>
        </w:rPr>
      </w:pPr>
      <w:r w:rsidRPr="006A68A4">
        <w:rPr>
          <w:rFonts w:asciiTheme="majorHAnsi" w:hAnsiTheme="majorHAnsi" w:cstheme="minorHAnsi"/>
          <w:i/>
          <w:sz w:val="24"/>
          <w:szCs w:val="24"/>
        </w:rPr>
        <w:t>What would be the costs of this plan, phasing, and public investment plan, bearing in mind roles and contributions of central, state and local governments?</w:t>
      </w:r>
    </w:p>
    <w:p w:rsidR="00E01039" w:rsidRPr="006A68A4" w:rsidRDefault="00E01039" w:rsidP="006A68A4">
      <w:pPr>
        <w:spacing w:line="264" w:lineRule="auto"/>
        <w:contextualSpacing/>
        <w:jc w:val="center"/>
        <w:rPr>
          <w:rFonts w:asciiTheme="majorHAnsi" w:hAnsiTheme="majorHAnsi" w:cstheme="minorHAnsi"/>
          <w:i/>
          <w:sz w:val="24"/>
          <w:szCs w:val="24"/>
        </w:rPr>
      </w:pPr>
    </w:p>
    <w:p w:rsidR="006A68A4" w:rsidRPr="00E01039" w:rsidRDefault="006A68A4" w:rsidP="006A68A4">
      <w:pPr>
        <w:spacing w:line="264" w:lineRule="auto"/>
        <w:contextualSpacing/>
        <w:jc w:val="both"/>
        <w:rPr>
          <w:rFonts w:asciiTheme="majorHAnsi" w:hAnsiTheme="majorHAnsi" w:cstheme="minorHAnsi"/>
          <w:sz w:val="24"/>
          <w:szCs w:val="24"/>
        </w:rPr>
      </w:pPr>
      <w:r w:rsidRPr="00E01039">
        <w:rPr>
          <w:rFonts w:asciiTheme="majorHAnsi" w:hAnsiTheme="majorHAnsi" w:cstheme="minorHAnsi"/>
          <w:sz w:val="24"/>
          <w:szCs w:val="24"/>
        </w:rPr>
        <w:t>Review the trends in public sector expenditure in health over the last 5 years of NRHM and the absorptive capacity of the States and Districts and explore the possibility of an overarching National Health Mission that subsumes NRHM and the NUHM.</w:t>
      </w:r>
    </w:p>
    <w:p w:rsidR="006A68A4" w:rsidRPr="00E01039" w:rsidRDefault="006A68A4" w:rsidP="006A68A4">
      <w:pPr>
        <w:autoSpaceDE w:val="0"/>
        <w:autoSpaceDN w:val="0"/>
        <w:adjustRightInd w:val="0"/>
        <w:spacing w:after="0" w:line="264" w:lineRule="auto"/>
        <w:contextualSpacing/>
        <w:jc w:val="both"/>
        <w:rPr>
          <w:rFonts w:asciiTheme="majorHAnsi" w:hAnsiTheme="majorHAnsi" w:cstheme="minorHAnsi"/>
          <w:sz w:val="24"/>
          <w:szCs w:val="24"/>
        </w:rPr>
      </w:pPr>
      <w:r w:rsidRPr="00E01039">
        <w:rPr>
          <w:rFonts w:asciiTheme="majorHAnsi" w:hAnsiTheme="majorHAnsi" w:cstheme="minorHAnsi"/>
          <w:sz w:val="24"/>
          <w:szCs w:val="24"/>
        </w:rPr>
        <w:t>The NRHM funds have been released to states through the state health societies as four components- RCH flexi-pool, Mission flexi-pool, Immunization (including Pulse Polio) and the National Disease Control Programmes. In addition through the treasury route, Rs</w:t>
      </w:r>
      <w:r w:rsidR="00B60A4B">
        <w:rPr>
          <w:rFonts w:asciiTheme="majorHAnsi" w:hAnsiTheme="majorHAnsi" w:cstheme="minorHAnsi"/>
          <w:sz w:val="24"/>
          <w:szCs w:val="24"/>
        </w:rPr>
        <w:t>.</w:t>
      </w:r>
      <w:r w:rsidRPr="00E01039">
        <w:rPr>
          <w:rFonts w:asciiTheme="majorHAnsi" w:hAnsiTheme="majorHAnsi" w:cstheme="minorHAnsi"/>
          <w:sz w:val="24"/>
          <w:szCs w:val="24"/>
        </w:rPr>
        <w:t xml:space="preserve"> 14,250 crores was released for infrastructure maintenance.</w:t>
      </w:r>
    </w:p>
    <w:p w:rsidR="006A68A4" w:rsidRPr="00E01039" w:rsidRDefault="006A68A4" w:rsidP="006A68A4">
      <w:pPr>
        <w:autoSpaceDE w:val="0"/>
        <w:autoSpaceDN w:val="0"/>
        <w:adjustRightInd w:val="0"/>
        <w:spacing w:after="0" w:line="264" w:lineRule="auto"/>
        <w:contextualSpacing/>
        <w:jc w:val="both"/>
        <w:rPr>
          <w:rFonts w:asciiTheme="majorHAnsi" w:hAnsiTheme="majorHAnsi" w:cstheme="minorHAnsi"/>
          <w:sz w:val="24"/>
          <w:szCs w:val="24"/>
        </w:rPr>
      </w:pPr>
    </w:p>
    <w:p w:rsidR="006A68A4" w:rsidRPr="00E01039" w:rsidRDefault="006A68A4" w:rsidP="006A68A4">
      <w:pPr>
        <w:spacing w:line="264" w:lineRule="auto"/>
        <w:contextualSpacing/>
        <w:jc w:val="both"/>
        <w:rPr>
          <w:rFonts w:asciiTheme="majorHAnsi" w:hAnsiTheme="majorHAnsi" w:cstheme="minorHAnsi"/>
          <w:sz w:val="24"/>
          <w:szCs w:val="24"/>
        </w:rPr>
      </w:pPr>
      <w:r w:rsidRPr="00E01039">
        <w:rPr>
          <w:rFonts w:asciiTheme="majorHAnsi" w:hAnsiTheme="majorHAnsi" w:cstheme="minorHAnsi"/>
          <w:sz w:val="24"/>
          <w:szCs w:val="24"/>
        </w:rPr>
        <w:lastRenderedPageBreak/>
        <w:t xml:space="preserve">The central government budgetary expenditure for health increased by 21.45 per cent per year (compounded annually) in the post NRHM phase (2005-06 to 2009-10) as compared to 10.85 per cent per year in the pre-NRHM period (2001-02 to 2004-05). The increase was from 9650 crores in 2005-06 to 20,996 crores in 2009-10 and this includes the NRHM. In 2009-10 the NRHM release was Rs. 11,225 crores and this comes to 53.46 % of the central government health budget. The state governments combined budgetary expenditure increased by 19.87% (compounded annually) from 22,031 crores in 2005-06 to 45,493 crores in 2009-10. </w:t>
      </w:r>
    </w:p>
    <w:p w:rsidR="00E01039" w:rsidRPr="00E01039" w:rsidRDefault="00E01039" w:rsidP="006A68A4">
      <w:pPr>
        <w:spacing w:line="264" w:lineRule="auto"/>
        <w:contextualSpacing/>
        <w:jc w:val="both"/>
        <w:rPr>
          <w:rFonts w:asciiTheme="majorHAnsi" w:hAnsiTheme="majorHAnsi" w:cstheme="minorHAnsi"/>
          <w:sz w:val="24"/>
          <w:szCs w:val="24"/>
        </w:rPr>
      </w:pPr>
    </w:p>
    <w:p w:rsidR="006A68A4" w:rsidRPr="00E01039" w:rsidRDefault="006A68A4" w:rsidP="006A68A4">
      <w:pPr>
        <w:autoSpaceDE w:val="0"/>
        <w:autoSpaceDN w:val="0"/>
        <w:adjustRightInd w:val="0"/>
        <w:spacing w:after="0" w:line="264" w:lineRule="auto"/>
        <w:contextualSpacing/>
        <w:jc w:val="both"/>
        <w:rPr>
          <w:rFonts w:asciiTheme="majorHAnsi" w:hAnsiTheme="majorHAnsi" w:cstheme="minorHAnsi"/>
          <w:sz w:val="24"/>
          <w:szCs w:val="24"/>
        </w:rPr>
      </w:pPr>
      <w:r w:rsidRPr="00E01039">
        <w:rPr>
          <w:rFonts w:asciiTheme="majorHAnsi" w:hAnsiTheme="majorHAnsi" w:cstheme="minorHAnsi"/>
          <w:sz w:val="24"/>
          <w:szCs w:val="24"/>
        </w:rPr>
        <w:t>The utilisation rate of the funds in the first years was slow, but subsequently it picked up and compensated for the low initial releases. The utilisation rate of RCH Flexi pool increased from 27.77 per cent in 2005-06 to 104.32 per cent in 2010-11, whereas NRHM flexi pool utilisation increased gradually from 4.24 per cent in 2005-06 to 141.74 per cent in 2010-11. Overall during the six years (2005-06 to 2010-11) the utilisa</w:t>
      </w:r>
      <w:r w:rsidR="00B60A4B">
        <w:rPr>
          <w:rFonts w:asciiTheme="majorHAnsi" w:hAnsiTheme="majorHAnsi" w:cstheme="minorHAnsi"/>
          <w:sz w:val="24"/>
          <w:szCs w:val="24"/>
        </w:rPr>
        <w:t>t</w:t>
      </w:r>
      <w:r w:rsidRPr="00E01039">
        <w:rPr>
          <w:rFonts w:asciiTheme="majorHAnsi" w:hAnsiTheme="majorHAnsi" w:cstheme="minorHAnsi"/>
          <w:sz w:val="24"/>
          <w:szCs w:val="24"/>
        </w:rPr>
        <w:t xml:space="preserve">ion rate of NRHM Flexi Pool was 97.87 per cent and RCH Flexi Pool was 92.63 per cent (Source: NRHM MIS State Wide Progress as on 31.03.2011). </w:t>
      </w:r>
    </w:p>
    <w:p w:rsidR="006A68A4" w:rsidRPr="00E01039" w:rsidRDefault="006A68A4" w:rsidP="006A68A4">
      <w:pPr>
        <w:autoSpaceDE w:val="0"/>
        <w:autoSpaceDN w:val="0"/>
        <w:adjustRightInd w:val="0"/>
        <w:spacing w:after="0" w:line="264" w:lineRule="auto"/>
        <w:contextualSpacing/>
        <w:jc w:val="both"/>
        <w:rPr>
          <w:rFonts w:asciiTheme="majorHAnsi" w:hAnsiTheme="majorHAnsi" w:cstheme="minorHAnsi"/>
          <w:sz w:val="24"/>
          <w:szCs w:val="24"/>
        </w:rPr>
      </w:pPr>
    </w:p>
    <w:p w:rsidR="006A68A4" w:rsidRPr="00E01039" w:rsidRDefault="006A68A4" w:rsidP="006A68A4">
      <w:pPr>
        <w:autoSpaceDE w:val="0"/>
        <w:autoSpaceDN w:val="0"/>
        <w:adjustRightInd w:val="0"/>
        <w:spacing w:after="0" w:line="264" w:lineRule="auto"/>
        <w:contextualSpacing/>
        <w:jc w:val="both"/>
        <w:rPr>
          <w:rFonts w:asciiTheme="majorHAnsi" w:hAnsiTheme="majorHAnsi" w:cstheme="minorHAnsi"/>
          <w:sz w:val="24"/>
          <w:szCs w:val="24"/>
        </w:rPr>
      </w:pPr>
      <w:r w:rsidRPr="00E01039">
        <w:rPr>
          <w:rFonts w:asciiTheme="majorHAnsi" w:hAnsiTheme="majorHAnsi" w:cstheme="minorHAnsi"/>
          <w:sz w:val="24"/>
          <w:szCs w:val="24"/>
        </w:rPr>
        <w:t>The Per Capita expenditure on National Rural Health Mission was Rs. 80.44 in 2005-06, which increased to Rs. 129.77 in 2007-08 and then to Rs. 163.62 in 2009-10 (Source: Public Accounts Committee Report, 2010-11). The trend is not confined to the Society route of funds only. A similar encouraging trend is also seen in the utilization of treasury route of funds for health.</w:t>
      </w:r>
    </w:p>
    <w:p w:rsidR="006A68A4" w:rsidRPr="00E01039" w:rsidRDefault="006A68A4" w:rsidP="006A68A4">
      <w:pPr>
        <w:spacing w:line="264" w:lineRule="auto"/>
        <w:contextualSpacing/>
        <w:jc w:val="both"/>
        <w:rPr>
          <w:rFonts w:asciiTheme="majorHAnsi" w:hAnsiTheme="majorHAnsi" w:cstheme="minorHAnsi"/>
          <w:sz w:val="24"/>
          <w:szCs w:val="24"/>
        </w:rPr>
      </w:pPr>
    </w:p>
    <w:p w:rsidR="006A68A4" w:rsidRDefault="006A68A4" w:rsidP="006A68A4">
      <w:pPr>
        <w:spacing w:line="264" w:lineRule="auto"/>
        <w:contextualSpacing/>
        <w:jc w:val="center"/>
        <w:rPr>
          <w:rFonts w:asciiTheme="majorHAnsi" w:hAnsiTheme="majorHAnsi" w:cstheme="minorHAnsi"/>
          <w:i/>
          <w:sz w:val="24"/>
          <w:szCs w:val="24"/>
        </w:rPr>
      </w:pPr>
      <w:r w:rsidRPr="00E01039">
        <w:rPr>
          <w:rFonts w:asciiTheme="majorHAnsi" w:hAnsiTheme="majorHAnsi" w:cstheme="minorHAnsi"/>
          <w:i/>
          <w:sz w:val="24"/>
          <w:szCs w:val="24"/>
        </w:rPr>
        <w:t>What if any should be the role of the private sector and what should be the systems of regulation of private and public health services?</w:t>
      </w:r>
    </w:p>
    <w:p w:rsidR="00EE1B28" w:rsidRPr="00E01039" w:rsidRDefault="00EE1B28" w:rsidP="006A68A4">
      <w:pPr>
        <w:spacing w:line="264" w:lineRule="auto"/>
        <w:contextualSpacing/>
        <w:jc w:val="center"/>
        <w:rPr>
          <w:rFonts w:asciiTheme="majorHAnsi" w:hAnsiTheme="majorHAnsi" w:cstheme="minorHAnsi"/>
          <w:i/>
          <w:sz w:val="24"/>
          <w:szCs w:val="24"/>
        </w:rPr>
      </w:pPr>
    </w:p>
    <w:p w:rsidR="006A68A4" w:rsidRPr="00EE1B28" w:rsidRDefault="006A68A4" w:rsidP="006A68A4">
      <w:pPr>
        <w:autoSpaceDE w:val="0"/>
        <w:autoSpaceDN w:val="0"/>
        <w:adjustRightInd w:val="0"/>
        <w:spacing w:after="0" w:line="264" w:lineRule="auto"/>
        <w:contextualSpacing/>
        <w:jc w:val="both"/>
        <w:rPr>
          <w:rFonts w:asciiTheme="majorHAnsi" w:hAnsiTheme="majorHAnsi" w:cstheme="minorHAnsi"/>
          <w:b/>
          <w:bCs/>
          <w:iCs/>
          <w:sz w:val="24"/>
          <w:szCs w:val="24"/>
        </w:rPr>
      </w:pPr>
      <w:r w:rsidRPr="00EE1B28">
        <w:rPr>
          <w:rFonts w:asciiTheme="majorHAnsi" w:hAnsiTheme="majorHAnsi" w:cstheme="minorHAnsi"/>
          <w:b/>
          <w:bCs/>
          <w:iCs/>
          <w:sz w:val="24"/>
          <w:szCs w:val="24"/>
        </w:rPr>
        <w:t>Private Sector Regulation and Public Private Partnerships:</w:t>
      </w:r>
    </w:p>
    <w:p w:rsidR="006A68A4" w:rsidRPr="00E01039" w:rsidRDefault="006A68A4" w:rsidP="006A68A4">
      <w:pPr>
        <w:autoSpaceDE w:val="0"/>
        <w:autoSpaceDN w:val="0"/>
        <w:adjustRightInd w:val="0"/>
        <w:spacing w:after="0" w:line="264" w:lineRule="auto"/>
        <w:contextualSpacing/>
        <w:jc w:val="both"/>
        <w:rPr>
          <w:rFonts w:asciiTheme="majorHAnsi" w:hAnsiTheme="majorHAnsi" w:cstheme="minorHAnsi"/>
          <w:bCs/>
          <w:iCs/>
          <w:sz w:val="24"/>
          <w:szCs w:val="24"/>
        </w:rPr>
      </w:pPr>
    </w:p>
    <w:p w:rsidR="006A68A4" w:rsidRPr="00E01039" w:rsidRDefault="006A68A4" w:rsidP="006A68A4">
      <w:pPr>
        <w:autoSpaceDE w:val="0"/>
        <w:autoSpaceDN w:val="0"/>
        <w:adjustRightInd w:val="0"/>
        <w:spacing w:after="0" w:line="264" w:lineRule="auto"/>
        <w:contextualSpacing/>
        <w:jc w:val="both"/>
        <w:rPr>
          <w:rFonts w:asciiTheme="majorHAnsi" w:hAnsiTheme="majorHAnsi" w:cstheme="minorHAnsi"/>
          <w:sz w:val="24"/>
          <w:szCs w:val="24"/>
        </w:rPr>
      </w:pPr>
      <w:r w:rsidRPr="00E01039">
        <w:rPr>
          <w:rFonts w:asciiTheme="majorHAnsi" w:hAnsiTheme="majorHAnsi" w:cstheme="minorHAnsi"/>
          <w:sz w:val="24"/>
          <w:szCs w:val="24"/>
        </w:rPr>
        <w:t xml:space="preserve">1. The private sector is a major contributor to curative health care services and would play an important supplementary role to the development and strengthening of public health services. PPPs could bring in additional professional skills or additional investment. However all PPPs must have a minimum standards of quality and cost of care monitoring and good contract management. Adherence to terms of contract and prompt payments for services should be strictly monitored. Priority for not for profit providers of essential services should be built in- for example charitable hospitals emergency obstetric care services where even the district hospitals are not doing so- so as to ensure cashless services and access to the poor. </w:t>
      </w:r>
    </w:p>
    <w:p w:rsidR="006A68A4" w:rsidRPr="00E01039" w:rsidRDefault="006A68A4" w:rsidP="006A68A4">
      <w:pPr>
        <w:autoSpaceDE w:val="0"/>
        <w:autoSpaceDN w:val="0"/>
        <w:adjustRightInd w:val="0"/>
        <w:spacing w:after="0" w:line="264" w:lineRule="auto"/>
        <w:contextualSpacing/>
        <w:jc w:val="both"/>
        <w:rPr>
          <w:rFonts w:asciiTheme="majorHAnsi" w:hAnsiTheme="majorHAnsi" w:cstheme="minorHAnsi"/>
          <w:sz w:val="24"/>
          <w:szCs w:val="24"/>
        </w:rPr>
      </w:pPr>
    </w:p>
    <w:p w:rsidR="006A68A4" w:rsidRPr="00E01039" w:rsidRDefault="006A68A4" w:rsidP="006A68A4">
      <w:pPr>
        <w:autoSpaceDE w:val="0"/>
        <w:autoSpaceDN w:val="0"/>
        <w:adjustRightInd w:val="0"/>
        <w:spacing w:after="0" w:line="264" w:lineRule="auto"/>
        <w:contextualSpacing/>
        <w:jc w:val="both"/>
        <w:rPr>
          <w:rFonts w:asciiTheme="majorHAnsi" w:hAnsiTheme="majorHAnsi" w:cstheme="minorHAnsi"/>
          <w:sz w:val="24"/>
          <w:szCs w:val="24"/>
        </w:rPr>
      </w:pPr>
      <w:r w:rsidRPr="00E01039">
        <w:rPr>
          <w:rFonts w:asciiTheme="majorHAnsi" w:hAnsiTheme="majorHAnsi" w:cstheme="minorHAnsi"/>
          <w:sz w:val="24"/>
          <w:szCs w:val="24"/>
        </w:rPr>
        <w:t>Preference would</w:t>
      </w:r>
      <w:r w:rsidR="00B60A4B">
        <w:rPr>
          <w:rFonts w:asciiTheme="majorHAnsi" w:hAnsiTheme="majorHAnsi" w:cstheme="minorHAnsi"/>
          <w:sz w:val="24"/>
          <w:szCs w:val="24"/>
        </w:rPr>
        <w:t xml:space="preserve"> be</w:t>
      </w:r>
      <w:r w:rsidRPr="00E01039">
        <w:rPr>
          <w:rFonts w:asciiTheme="majorHAnsi" w:hAnsiTheme="majorHAnsi" w:cstheme="minorHAnsi"/>
          <w:sz w:val="24"/>
          <w:szCs w:val="24"/>
        </w:rPr>
        <w:t xml:space="preserve"> given to private sector units who are willing to get totally contracted in- thus a public sector equivalent with private management. PPPs made for the explicit purpose of strengthening public provision of services – like outsourcing ancillary and </w:t>
      </w:r>
      <w:r w:rsidRPr="00E01039">
        <w:rPr>
          <w:rFonts w:asciiTheme="majorHAnsi" w:hAnsiTheme="majorHAnsi" w:cstheme="minorHAnsi"/>
          <w:sz w:val="24"/>
          <w:szCs w:val="24"/>
        </w:rPr>
        <w:lastRenderedPageBreak/>
        <w:t>auxiliary functions of the hospital if well managed can add efficiency and quality to public health services. District plans must indicate which services cannot be currently provided in the public sector but are available in the local private sector. Partnership with professional bodies such as FOGSI, IMA, IAP etc could be explored.</w:t>
      </w:r>
    </w:p>
    <w:p w:rsidR="006A68A4" w:rsidRPr="00E01039" w:rsidRDefault="006A68A4" w:rsidP="006A68A4">
      <w:pPr>
        <w:autoSpaceDE w:val="0"/>
        <w:autoSpaceDN w:val="0"/>
        <w:adjustRightInd w:val="0"/>
        <w:spacing w:after="0" w:line="264" w:lineRule="auto"/>
        <w:contextualSpacing/>
        <w:jc w:val="both"/>
        <w:rPr>
          <w:rFonts w:asciiTheme="majorHAnsi" w:hAnsiTheme="majorHAnsi" w:cstheme="minorHAnsi"/>
          <w:sz w:val="24"/>
          <w:szCs w:val="24"/>
        </w:rPr>
      </w:pPr>
    </w:p>
    <w:p w:rsidR="006A68A4" w:rsidRPr="00E01039" w:rsidRDefault="006A68A4" w:rsidP="006A68A4">
      <w:pPr>
        <w:autoSpaceDE w:val="0"/>
        <w:autoSpaceDN w:val="0"/>
        <w:adjustRightInd w:val="0"/>
        <w:spacing w:after="0" w:line="264" w:lineRule="auto"/>
        <w:contextualSpacing/>
        <w:jc w:val="both"/>
        <w:rPr>
          <w:rFonts w:asciiTheme="majorHAnsi" w:hAnsiTheme="majorHAnsi" w:cstheme="minorHAnsi"/>
          <w:sz w:val="24"/>
          <w:szCs w:val="24"/>
        </w:rPr>
      </w:pPr>
      <w:r w:rsidRPr="00E01039">
        <w:rPr>
          <w:rFonts w:asciiTheme="majorHAnsi" w:hAnsiTheme="majorHAnsi" w:cstheme="minorHAnsi"/>
          <w:sz w:val="24"/>
          <w:szCs w:val="24"/>
        </w:rPr>
        <w:t>2. Containment of cost of care and promotion of ethical care requires urgent measures for regulation of the private sector in health care delivery. The implementation of the clinical establishments act or equivalent state acts in all the states is one of the priorities of the Twelfth five year plan period. PPPs would do better in an environment where the overall regulation of private sector is robust.</w:t>
      </w:r>
    </w:p>
    <w:p w:rsidR="006A68A4" w:rsidRPr="00E01039" w:rsidRDefault="006A68A4" w:rsidP="006A68A4">
      <w:pPr>
        <w:autoSpaceDE w:val="0"/>
        <w:autoSpaceDN w:val="0"/>
        <w:adjustRightInd w:val="0"/>
        <w:spacing w:after="0" w:line="264" w:lineRule="auto"/>
        <w:contextualSpacing/>
        <w:jc w:val="both"/>
        <w:rPr>
          <w:rFonts w:asciiTheme="majorHAnsi" w:hAnsiTheme="majorHAnsi" w:cstheme="minorHAnsi"/>
          <w:sz w:val="24"/>
          <w:szCs w:val="24"/>
        </w:rPr>
      </w:pPr>
    </w:p>
    <w:p w:rsidR="006A68A4" w:rsidRPr="00E01039" w:rsidRDefault="006A68A4" w:rsidP="006A68A4">
      <w:pPr>
        <w:autoSpaceDE w:val="0"/>
        <w:autoSpaceDN w:val="0"/>
        <w:adjustRightInd w:val="0"/>
        <w:spacing w:after="0" w:line="264" w:lineRule="auto"/>
        <w:contextualSpacing/>
        <w:jc w:val="both"/>
        <w:rPr>
          <w:rFonts w:asciiTheme="majorHAnsi" w:hAnsiTheme="majorHAnsi" w:cstheme="minorHAnsi"/>
          <w:sz w:val="24"/>
          <w:szCs w:val="24"/>
        </w:rPr>
      </w:pPr>
      <w:r w:rsidRPr="00E01039">
        <w:rPr>
          <w:rFonts w:asciiTheme="majorHAnsi" w:hAnsiTheme="majorHAnsi" w:cstheme="minorHAnsi"/>
          <w:sz w:val="24"/>
          <w:szCs w:val="24"/>
        </w:rPr>
        <w:t>3. One major concern is in the introduction of new drugs and technologies – in terms of containing health care costs, in terms of provision of quality care and in terms of avoiding iatrogenic health hazards. This will also need to be addressed.</w:t>
      </w:r>
    </w:p>
    <w:p w:rsidR="006A68A4" w:rsidRPr="00E01039" w:rsidRDefault="006A68A4" w:rsidP="006A68A4">
      <w:pPr>
        <w:autoSpaceDE w:val="0"/>
        <w:autoSpaceDN w:val="0"/>
        <w:adjustRightInd w:val="0"/>
        <w:spacing w:after="0" w:line="264" w:lineRule="auto"/>
        <w:contextualSpacing/>
        <w:jc w:val="both"/>
        <w:rPr>
          <w:rFonts w:asciiTheme="majorHAnsi" w:hAnsiTheme="majorHAnsi" w:cstheme="minorHAnsi"/>
          <w:sz w:val="24"/>
          <w:szCs w:val="24"/>
        </w:rPr>
      </w:pPr>
    </w:p>
    <w:p w:rsidR="006A68A4" w:rsidRPr="00E01039" w:rsidRDefault="006A68A4" w:rsidP="006A68A4">
      <w:pPr>
        <w:autoSpaceDE w:val="0"/>
        <w:autoSpaceDN w:val="0"/>
        <w:adjustRightInd w:val="0"/>
        <w:spacing w:after="0" w:line="264" w:lineRule="auto"/>
        <w:contextualSpacing/>
        <w:jc w:val="both"/>
        <w:rPr>
          <w:rFonts w:asciiTheme="majorHAnsi" w:hAnsiTheme="majorHAnsi" w:cstheme="minorHAnsi"/>
          <w:sz w:val="24"/>
          <w:szCs w:val="24"/>
        </w:rPr>
      </w:pPr>
      <w:r w:rsidRPr="00E01039">
        <w:rPr>
          <w:rFonts w:asciiTheme="majorHAnsi" w:hAnsiTheme="majorHAnsi" w:cstheme="minorHAnsi"/>
          <w:sz w:val="24"/>
          <w:szCs w:val="24"/>
        </w:rPr>
        <w:t>4. The approach Paper to the 12th Plan says that the 12th Plan will explore the possibilities of introducing a government funded Health Insurance Plan, which will focus on both preventive and curative aspects. The working group is of the view that it would be prudent to continue strengthening the public health infrastructure, keeping quality in mind and recommends that preventive health care and also primary health care should be delivered through public health infrastructure and should be kept outside the ambit of health insurance and health Insurance for secondary and tertiary care should be introduced with caution.</w:t>
      </w:r>
    </w:p>
    <w:p w:rsidR="006A68A4" w:rsidRPr="00E01039" w:rsidRDefault="006A68A4" w:rsidP="006A68A4">
      <w:pPr>
        <w:autoSpaceDE w:val="0"/>
        <w:autoSpaceDN w:val="0"/>
        <w:adjustRightInd w:val="0"/>
        <w:spacing w:after="0" w:line="264" w:lineRule="auto"/>
        <w:contextualSpacing/>
        <w:jc w:val="both"/>
        <w:rPr>
          <w:rFonts w:asciiTheme="majorHAnsi" w:hAnsiTheme="majorHAnsi" w:cstheme="minorHAnsi"/>
          <w:sz w:val="24"/>
          <w:szCs w:val="24"/>
        </w:rPr>
      </w:pPr>
    </w:p>
    <w:p w:rsidR="006A68A4" w:rsidRPr="00EE1B28" w:rsidRDefault="006A68A4" w:rsidP="006A68A4">
      <w:pPr>
        <w:autoSpaceDE w:val="0"/>
        <w:autoSpaceDN w:val="0"/>
        <w:adjustRightInd w:val="0"/>
        <w:spacing w:after="0" w:line="264" w:lineRule="auto"/>
        <w:contextualSpacing/>
        <w:jc w:val="both"/>
        <w:rPr>
          <w:rFonts w:asciiTheme="majorHAnsi" w:hAnsiTheme="majorHAnsi" w:cstheme="minorHAnsi"/>
          <w:b/>
          <w:bCs/>
          <w:sz w:val="24"/>
          <w:szCs w:val="24"/>
        </w:rPr>
      </w:pPr>
      <w:r w:rsidRPr="00EE1B28">
        <w:rPr>
          <w:rFonts w:asciiTheme="majorHAnsi" w:hAnsiTheme="majorHAnsi" w:cstheme="minorHAnsi"/>
          <w:b/>
          <w:bCs/>
          <w:sz w:val="24"/>
          <w:szCs w:val="24"/>
        </w:rPr>
        <w:t>Recommendations for Framework for Regulation</w:t>
      </w:r>
    </w:p>
    <w:p w:rsidR="006A68A4" w:rsidRPr="00E01039" w:rsidRDefault="006A68A4" w:rsidP="006A68A4">
      <w:pPr>
        <w:autoSpaceDE w:val="0"/>
        <w:autoSpaceDN w:val="0"/>
        <w:adjustRightInd w:val="0"/>
        <w:spacing w:after="0" w:line="264" w:lineRule="auto"/>
        <w:contextualSpacing/>
        <w:jc w:val="both"/>
        <w:rPr>
          <w:rFonts w:asciiTheme="majorHAnsi" w:hAnsiTheme="majorHAnsi" w:cstheme="minorHAnsi"/>
          <w:sz w:val="24"/>
          <w:szCs w:val="24"/>
        </w:rPr>
      </w:pPr>
      <w:r w:rsidRPr="00E01039">
        <w:rPr>
          <w:rFonts w:asciiTheme="majorHAnsi" w:hAnsiTheme="majorHAnsi" w:cstheme="minorHAnsi"/>
          <w:sz w:val="24"/>
          <w:szCs w:val="24"/>
        </w:rPr>
        <w:t>As is evident Partnership mechanisms do not work without quality assurance and an enabling environment. Government must ensure that providers are accredited, at least essential standards are set and followed, guidelines and protocols for diagnosis and treatment are developed and used, and providers are kept updated through continuing medical education. System must monitor and correct such important aspects of quality as infection prevention, client satisfaction and access to services. For enablement the government must understand the advantages, disadvantages and requirements of partnership. They need to understand that partnerships are based on common objectives, shared risks, shared investments and participatory decision-making. Since there is an element of contradiction in the objective of strengthening of the public health system by the private sector in which the private sector apparently is the ultimate looser, therefore it is essential that the framework for the whole process of partnership is not ad- hoc.</w:t>
      </w:r>
    </w:p>
    <w:p w:rsidR="006A68A4" w:rsidRPr="00E01039" w:rsidRDefault="006A68A4" w:rsidP="006A68A4">
      <w:pPr>
        <w:autoSpaceDE w:val="0"/>
        <w:autoSpaceDN w:val="0"/>
        <w:adjustRightInd w:val="0"/>
        <w:spacing w:after="0" w:line="264" w:lineRule="auto"/>
        <w:contextualSpacing/>
        <w:jc w:val="both"/>
        <w:rPr>
          <w:rFonts w:asciiTheme="majorHAnsi" w:hAnsiTheme="majorHAnsi" w:cstheme="minorHAnsi"/>
          <w:sz w:val="24"/>
          <w:szCs w:val="24"/>
        </w:rPr>
      </w:pPr>
    </w:p>
    <w:p w:rsidR="006A68A4" w:rsidRPr="00E01039" w:rsidRDefault="006A68A4" w:rsidP="006A68A4">
      <w:pPr>
        <w:autoSpaceDE w:val="0"/>
        <w:autoSpaceDN w:val="0"/>
        <w:adjustRightInd w:val="0"/>
        <w:spacing w:after="0" w:line="264" w:lineRule="auto"/>
        <w:contextualSpacing/>
        <w:jc w:val="both"/>
        <w:rPr>
          <w:rFonts w:asciiTheme="majorHAnsi" w:hAnsiTheme="majorHAnsi" w:cstheme="minorHAnsi"/>
          <w:sz w:val="24"/>
          <w:szCs w:val="24"/>
        </w:rPr>
      </w:pPr>
      <w:r w:rsidRPr="00E01039">
        <w:rPr>
          <w:rFonts w:asciiTheme="majorHAnsi" w:hAnsiTheme="majorHAnsi" w:cstheme="minorHAnsi"/>
          <w:bCs/>
          <w:sz w:val="24"/>
          <w:szCs w:val="24"/>
        </w:rPr>
        <w:t xml:space="preserve">Equity, Quality and Regulation should </w:t>
      </w:r>
      <w:r w:rsidRPr="00E01039">
        <w:rPr>
          <w:rFonts w:asciiTheme="majorHAnsi" w:hAnsiTheme="majorHAnsi" w:cstheme="minorHAnsi"/>
          <w:sz w:val="24"/>
          <w:szCs w:val="24"/>
        </w:rPr>
        <w:t xml:space="preserve">underline the entire deliberation and apply not only to the Private Sector but also to the Public Sector. Primary goal of any health system should be assurance of health care professional competence to the public. For a minimalist </w:t>
      </w:r>
      <w:r w:rsidRPr="00E01039">
        <w:rPr>
          <w:rFonts w:asciiTheme="majorHAnsi" w:hAnsiTheme="majorHAnsi" w:cstheme="minorHAnsi"/>
          <w:sz w:val="24"/>
          <w:szCs w:val="24"/>
        </w:rPr>
        <w:lastRenderedPageBreak/>
        <w:t>regulation system that may be feasible in the current environment it is suggested that socio-political:</w:t>
      </w:r>
    </w:p>
    <w:p w:rsidR="006A68A4" w:rsidRPr="00E01039" w:rsidRDefault="006A68A4" w:rsidP="006A68A4">
      <w:pPr>
        <w:autoSpaceDE w:val="0"/>
        <w:autoSpaceDN w:val="0"/>
        <w:adjustRightInd w:val="0"/>
        <w:spacing w:after="0" w:line="264" w:lineRule="auto"/>
        <w:contextualSpacing/>
        <w:jc w:val="both"/>
        <w:rPr>
          <w:rFonts w:asciiTheme="majorHAnsi" w:hAnsiTheme="majorHAnsi" w:cstheme="minorHAnsi"/>
          <w:sz w:val="24"/>
          <w:szCs w:val="24"/>
        </w:rPr>
      </w:pPr>
    </w:p>
    <w:p w:rsidR="006A68A4" w:rsidRPr="00E01039" w:rsidRDefault="006A68A4" w:rsidP="006A68A4">
      <w:pPr>
        <w:autoSpaceDE w:val="0"/>
        <w:autoSpaceDN w:val="0"/>
        <w:adjustRightInd w:val="0"/>
        <w:spacing w:after="0" w:line="264" w:lineRule="auto"/>
        <w:contextualSpacing/>
        <w:jc w:val="both"/>
        <w:rPr>
          <w:rFonts w:asciiTheme="majorHAnsi" w:hAnsiTheme="majorHAnsi" w:cstheme="minorHAnsi"/>
          <w:sz w:val="24"/>
          <w:szCs w:val="24"/>
        </w:rPr>
      </w:pPr>
      <w:r w:rsidRPr="00E01039">
        <w:rPr>
          <w:rFonts w:asciiTheme="majorHAnsi" w:hAnsiTheme="majorHAnsi" w:cstheme="minorHAnsi"/>
          <w:sz w:val="24"/>
          <w:szCs w:val="24"/>
        </w:rPr>
        <w:t>1. Any Health Care Professional, practicing in any area / institution, should register with the Primary Health Officer of the Area or the Institution as the case may be. For this purpose an appropriate officer in the Primary Health Centres / Urban Health Centres may be identified as the Primary Health Officer. Every Health Care Institution may be required to designate an officer as the Institution’s Primary Health Officer. The Registers maintained by Primary Health Officers should be accessible to public. The Register will also help Primary Health Centres and Public Health Officials to manage public health emergencies and for epidemiological surveillance.</w:t>
      </w:r>
    </w:p>
    <w:p w:rsidR="006A68A4" w:rsidRPr="00E01039" w:rsidRDefault="006A68A4" w:rsidP="006A68A4">
      <w:pPr>
        <w:autoSpaceDE w:val="0"/>
        <w:autoSpaceDN w:val="0"/>
        <w:adjustRightInd w:val="0"/>
        <w:spacing w:after="0" w:line="264" w:lineRule="auto"/>
        <w:contextualSpacing/>
        <w:jc w:val="both"/>
        <w:rPr>
          <w:rFonts w:asciiTheme="majorHAnsi" w:hAnsiTheme="majorHAnsi" w:cstheme="minorHAnsi"/>
          <w:sz w:val="24"/>
          <w:szCs w:val="24"/>
        </w:rPr>
      </w:pPr>
    </w:p>
    <w:p w:rsidR="006A68A4" w:rsidRPr="00E01039" w:rsidRDefault="006A68A4" w:rsidP="006A68A4">
      <w:pPr>
        <w:autoSpaceDE w:val="0"/>
        <w:autoSpaceDN w:val="0"/>
        <w:adjustRightInd w:val="0"/>
        <w:spacing w:after="0" w:line="264" w:lineRule="auto"/>
        <w:contextualSpacing/>
        <w:jc w:val="both"/>
        <w:rPr>
          <w:rFonts w:asciiTheme="majorHAnsi" w:hAnsiTheme="majorHAnsi" w:cstheme="minorHAnsi"/>
          <w:sz w:val="24"/>
          <w:szCs w:val="24"/>
        </w:rPr>
      </w:pPr>
      <w:r w:rsidRPr="00E01039">
        <w:rPr>
          <w:rFonts w:asciiTheme="majorHAnsi" w:hAnsiTheme="majorHAnsi" w:cstheme="minorHAnsi"/>
          <w:sz w:val="24"/>
          <w:szCs w:val="24"/>
        </w:rPr>
        <w:t>2. Clinical Establishment Act, requiring registration of Health Care Institutions and Hospitals with appropriate Health Authority. Clinics, Nursing Homes and Small Hospitals of less than 100 beds may register with Local Health Authority, to be designated for about 5 lakh population (Revenue Division / Sub Division), larger hospitals may register with District Health Authorities and Tertiary Referral Hospitals may register with concerned State Health Authority. The Act should also provide for registration at the district level with the Zilla Parishad or the DHA wherever capacities of PRIs are wanting and include redressal mechanism for health institutions (Example diagnostic Centres) owned by a non-medical person.</w:t>
      </w:r>
    </w:p>
    <w:p w:rsidR="006A68A4" w:rsidRPr="00E01039" w:rsidRDefault="006A68A4" w:rsidP="006A68A4">
      <w:pPr>
        <w:autoSpaceDE w:val="0"/>
        <w:autoSpaceDN w:val="0"/>
        <w:adjustRightInd w:val="0"/>
        <w:spacing w:after="0" w:line="264" w:lineRule="auto"/>
        <w:contextualSpacing/>
        <w:jc w:val="both"/>
        <w:rPr>
          <w:rFonts w:asciiTheme="majorHAnsi" w:hAnsiTheme="majorHAnsi" w:cstheme="minorHAnsi"/>
          <w:sz w:val="24"/>
          <w:szCs w:val="24"/>
        </w:rPr>
      </w:pPr>
    </w:p>
    <w:p w:rsidR="006A68A4" w:rsidRPr="00E01039" w:rsidRDefault="006A68A4" w:rsidP="006A68A4">
      <w:pPr>
        <w:autoSpaceDE w:val="0"/>
        <w:autoSpaceDN w:val="0"/>
        <w:adjustRightInd w:val="0"/>
        <w:spacing w:after="0" w:line="264" w:lineRule="auto"/>
        <w:contextualSpacing/>
        <w:jc w:val="both"/>
        <w:rPr>
          <w:rFonts w:asciiTheme="majorHAnsi" w:hAnsiTheme="majorHAnsi" w:cstheme="minorHAnsi"/>
          <w:sz w:val="24"/>
          <w:szCs w:val="24"/>
        </w:rPr>
      </w:pPr>
      <w:r w:rsidRPr="00E01039">
        <w:rPr>
          <w:rFonts w:asciiTheme="majorHAnsi" w:hAnsiTheme="majorHAnsi" w:cstheme="minorHAnsi"/>
          <w:sz w:val="24"/>
          <w:szCs w:val="24"/>
        </w:rPr>
        <w:t>The registers of professionals practicing in an area or within an institution should in the public domain available for public use and scrutiny. This would eventually lead to setting up of a national database on professionals practicing in different areas and institutions in different parts of the country and will also help in the judicial process. Therefore it is important that Registration should be in the Government domain and not with an autonomous body.</w:t>
      </w:r>
    </w:p>
    <w:p w:rsidR="006A68A4" w:rsidRPr="00E01039" w:rsidRDefault="006A68A4" w:rsidP="006A68A4">
      <w:pPr>
        <w:autoSpaceDE w:val="0"/>
        <w:autoSpaceDN w:val="0"/>
        <w:adjustRightInd w:val="0"/>
        <w:spacing w:after="0" w:line="264" w:lineRule="auto"/>
        <w:contextualSpacing/>
        <w:jc w:val="both"/>
        <w:rPr>
          <w:rFonts w:asciiTheme="majorHAnsi" w:hAnsiTheme="majorHAnsi" w:cstheme="minorHAnsi"/>
          <w:sz w:val="24"/>
          <w:szCs w:val="24"/>
        </w:rPr>
      </w:pPr>
    </w:p>
    <w:p w:rsidR="006A68A4" w:rsidRPr="00E01039" w:rsidRDefault="006A68A4" w:rsidP="006A68A4">
      <w:pPr>
        <w:autoSpaceDE w:val="0"/>
        <w:autoSpaceDN w:val="0"/>
        <w:adjustRightInd w:val="0"/>
        <w:spacing w:after="0" w:line="264" w:lineRule="auto"/>
        <w:contextualSpacing/>
        <w:jc w:val="both"/>
        <w:rPr>
          <w:rFonts w:asciiTheme="majorHAnsi" w:hAnsiTheme="majorHAnsi" w:cstheme="minorHAnsi"/>
          <w:sz w:val="24"/>
          <w:szCs w:val="24"/>
        </w:rPr>
      </w:pPr>
      <w:r w:rsidRPr="00E01039">
        <w:rPr>
          <w:rFonts w:asciiTheme="majorHAnsi" w:hAnsiTheme="majorHAnsi" w:cstheme="minorHAnsi"/>
          <w:sz w:val="24"/>
          <w:szCs w:val="24"/>
        </w:rPr>
        <w:t xml:space="preserve">The need for regulation should not only be for providers but also for training educators and training facilities. There is also a need for a regulatory framework for the proposed Rural Medical Practitioners as they would be key players in the primary health delivery systems. Since managerial issues and governance capacities within the public health system are key issues in determining the effectiveness of registration therefore, in the initial phase, </w:t>
      </w:r>
      <w:r w:rsidR="00B60A4B" w:rsidRPr="00E01039">
        <w:rPr>
          <w:rFonts w:asciiTheme="majorHAnsi" w:hAnsiTheme="majorHAnsi" w:cstheme="minorHAnsi"/>
          <w:sz w:val="24"/>
          <w:szCs w:val="24"/>
        </w:rPr>
        <w:t>self-registration</w:t>
      </w:r>
      <w:r w:rsidRPr="00E01039">
        <w:rPr>
          <w:rFonts w:asciiTheme="majorHAnsi" w:hAnsiTheme="majorHAnsi" w:cstheme="minorHAnsi"/>
          <w:sz w:val="24"/>
          <w:szCs w:val="24"/>
        </w:rPr>
        <w:t xml:space="preserve"> should be encouraged followed by an interim accreditation mechanism developed with the help of FOGSI/IMA before a fully e-governed registration system could be institutionalized.</w:t>
      </w:r>
    </w:p>
    <w:p w:rsidR="006A68A4" w:rsidRPr="00E01039" w:rsidRDefault="006A68A4" w:rsidP="006A68A4">
      <w:pPr>
        <w:autoSpaceDE w:val="0"/>
        <w:autoSpaceDN w:val="0"/>
        <w:adjustRightInd w:val="0"/>
        <w:spacing w:after="0" w:line="264" w:lineRule="auto"/>
        <w:contextualSpacing/>
        <w:jc w:val="both"/>
        <w:rPr>
          <w:rFonts w:asciiTheme="majorHAnsi" w:hAnsiTheme="majorHAnsi" w:cstheme="minorHAnsi"/>
          <w:sz w:val="24"/>
          <w:szCs w:val="24"/>
        </w:rPr>
      </w:pPr>
    </w:p>
    <w:p w:rsidR="006A68A4" w:rsidRPr="00E01039" w:rsidRDefault="006A68A4" w:rsidP="006A68A4">
      <w:pPr>
        <w:autoSpaceDE w:val="0"/>
        <w:autoSpaceDN w:val="0"/>
        <w:adjustRightInd w:val="0"/>
        <w:spacing w:after="0" w:line="264" w:lineRule="auto"/>
        <w:contextualSpacing/>
        <w:jc w:val="both"/>
        <w:rPr>
          <w:rFonts w:asciiTheme="majorHAnsi" w:hAnsiTheme="majorHAnsi" w:cstheme="minorHAnsi"/>
          <w:sz w:val="24"/>
          <w:szCs w:val="24"/>
        </w:rPr>
      </w:pPr>
      <w:r w:rsidRPr="00E01039">
        <w:rPr>
          <w:rFonts w:asciiTheme="majorHAnsi" w:hAnsiTheme="majorHAnsi" w:cstheme="minorHAnsi"/>
          <w:sz w:val="24"/>
          <w:szCs w:val="24"/>
        </w:rPr>
        <w:t xml:space="preserve">“Accreditation” as a voluntary process with set standards, provision for external review etc. must also be supported and incentives for accreditation must be encouraged. The accreditation initiatives in India at the National level (QCI, NABL) and at the State Level </w:t>
      </w:r>
      <w:r w:rsidRPr="00E01039">
        <w:rPr>
          <w:rFonts w:asciiTheme="majorHAnsi" w:hAnsiTheme="majorHAnsi" w:cstheme="minorHAnsi"/>
          <w:sz w:val="24"/>
          <w:szCs w:val="24"/>
        </w:rPr>
        <w:lastRenderedPageBreak/>
        <w:t>(AP, Karnataka, Tamil Nadu, Ker</w:t>
      </w:r>
      <w:r w:rsidR="00B60A4B">
        <w:rPr>
          <w:rFonts w:asciiTheme="majorHAnsi" w:hAnsiTheme="majorHAnsi" w:cstheme="minorHAnsi"/>
          <w:sz w:val="24"/>
          <w:szCs w:val="24"/>
        </w:rPr>
        <w:t>a</w:t>
      </w:r>
      <w:r w:rsidRPr="00E01039">
        <w:rPr>
          <w:rFonts w:asciiTheme="majorHAnsi" w:hAnsiTheme="majorHAnsi" w:cstheme="minorHAnsi"/>
          <w:sz w:val="24"/>
          <w:szCs w:val="24"/>
        </w:rPr>
        <w:t>la and Maharashtra) are progressive steps. A range of Accreditation Systems ranging from compulsory accreditation, accreditation by independent agencies, and facilitation of establishment of State Accreditation Councils to a blue print developed by the Ministry of Health &amp; Family Welfare may be explored. It is however important to involve the stakeholders, build capacity, have different bodies at different levels, and collect evidence base for the whole process. Accreditation should have synergy with Regulation.</w:t>
      </w:r>
    </w:p>
    <w:p w:rsidR="006A68A4" w:rsidRPr="00E01039" w:rsidRDefault="006A68A4" w:rsidP="006A68A4">
      <w:pPr>
        <w:autoSpaceDE w:val="0"/>
        <w:autoSpaceDN w:val="0"/>
        <w:adjustRightInd w:val="0"/>
        <w:spacing w:after="0" w:line="264" w:lineRule="auto"/>
        <w:contextualSpacing/>
        <w:jc w:val="both"/>
        <w:rPr>
          <w:rFonts w:asciiTheme="majorHAnsi" w:hAnsiTheme="majorHAnsi" w:cstheme="minorHAnsi"/>
          <w:sz w:val="24"/>
          <w:szCs w:val="24"/>
        </w:rPr>
      </w:pPr>
    </w:p>
    <w:p w:rsidR="006A68A4" w:rsidRPr="00EE1B28" w:rsidRDefault="006A68A4" w:rsidP="006A68A4">
      <w:pPr>
        <w:autoSpaceDE w:val="0"/>
        <w:autoSpaceDN w:val="0"/>
        <w:adjustRightInd w:val="0"/>
        <w:spacing w:after="0" w:line="264" w:lineRule="auto"/>
        <w:contextualSpacing/>
        <w:jc w:val="both"/>
        <w:rPr>
          <w:rFonts w:asciiTheme="majorHAnsi" w:hAnsiTheme="majorHAnsi" w:cstheme="minorHAnsi"/>
          <w:b/>
          <w:sz w:val="24"/>
          <w:szCs w:val="24"/>
        </w:rPr>
      </w:pPr>
      <w:r w:rsidRPr="00EE1B28">
        <w:rPr>
          <w:rFonts w:asciiTheme="majorHAnsi" w:hAnsiTheme="majorHAnsi" w:cstheme="minorHAnsi"/>
          <w:b/>
          <w:sz w:val="24"/>
          <w:szCs w:val="24"/>
        </w:rPr>
        <w:t>3) Report of Steering Committee on Health for 12</w:t>
      </w:r>
      <w:r w:rsidRPr="00EE1B28">
        <w:rPr>
          <w:rFonts w:asciiTheme="majorHAnsi" w:hAnsiTheme="majorHAnsi" w:cstheme="minorHAnsi"/>
          <w:b/>
          <w:sz w:val="24"/>
          <w:szCs w:val="24"/>
          <w:vertAlign w:val="superscript"/>
        </w:rPr>
        <w:t>th</w:t>
      </w:r>
      <w:r w:rsidRPr="00EE1B28">
        <w:rPr>
          <w:rFonts w:asciiTheme="majorHAnsi" w:hAnsiTheme="majorHAnsi" w:cstheme="minorHAnsi"/>
          <w:b/>
          <w:sz w:val="24"/>
          <w:szCs w:val="24"/>
        </w:rPr>
        <w:t xml:space="preserve"> Five year plan</w:t>
      </w:r>
    </w:p>
    <w:p w:rsidR="0043366E" w:rsidRDefault="006A68A4" w:rsidP="006A68A4">
      <w:pPr>
        <w:autoSpaceDE w:val="0"/>
        <w:autoSpaceDN w:val="0"/>
        <w:adjustRightInd w:val="0"/>
        <w:spacing w:after="0" w:line="264" w:lineRule="auto"/>
        <w:contextualSpacing/>
        <w:jc w:val="both"/>
        <w:rPr>
          <w:rFonts w:asciiTheme="majorHAnsi" w:hAnsiTheme="majorHAnsi" w:cstheme="minorHAnsi"/>
          <w:sz w:val="24"/>
          <w:szCs w:val="24"/>
        </w:rPr>
      </w:pPr>
      <w:r w:rsidRPr="00E01039">
        <w:rPr>
          <w:rFonts w:asciiTheme="majorHAnsi" w:hAnsiTheme="majorHAnsi" w:cstheme="minorHAnsi"/>
          <w:sz w:val="24"/>
          <w:szCs w:val="24"/>
        </w:rPr>
        <w:t xml:space="preserve">Health requirements in urban areas, particularly of slum dwellers, need attention. The urban areas present unique challenges such as overcrowding and consequent sanitation problems, pollution, risk of road traffic injuries, and higher rate of crime. On the other hand, these areas also offer opportunities such as availability of private providers and facilities, NGOs and citizens’ groups and better access to transport and telecommunication thus making health related interventions relatively easier. </w:t>
      </w:r>
    </w:p>
    <w:p w:rsidR="0043366E" w:rsidRDefault="0043366E" w:rsidP="006A68A4">
      <w:pPr>
        <w:autoSpaceDE w:val="0"/>
        <w:autoSpaceDN w:val="0"/>
        <w:adjustRightInd w:val="0"/>
        <w:spacing w:after="0" w:line="264" w:lineRule="auto"/>
        <w:contextualSpacing/>
        <w:jc w:val="both"/>
        <w:rPr>
          <w:rFonts w:asciiTheme="majorHAnsi" w:hAnsiTheme="majorHAnsi" w:cstheme="minorHAnsi"/>
          <w:sz w:val="24"/>
          <w:szCs w:val="24"/>
        </w:rPr>
      </w:pPr>
    </w:p>
    <w:p w:rsidR="006A68A4" w:rsidRPr="00E01039" w:rsidRDefault="006A68A4" w:rsidP="006A68A4">
      <w:pPr>
        <w:autoSpaceDE w:val="0"/>
        <w:autoSpaceDN w:val="0"/>
        <w:adjustRightInd w:val="0"/>
        <w:spacing w:after="0" w:line="264" w:lineRule="auto"/>
        <w:contextualSpacing/>
        <w:jc w:val="both"/>
        <w:rPr>
          <w:rFonts w:asciiTheme="majorHAnsi" w:hAnsiTheme="majorHAnsi" w:cstheme="minorHAnsi"/>
          <w:sz w:val="24"/>
          <w:szCs w:val="24"/>
        </w:rPr>
      </w:pPr>
      <w:r w:rsidRPr="00E01039">
        <w:rPr>
          <w:rFonts w:asciiTheme="majorHAnsi" w:hAnsiTheme="majorHAnsi" w:cstheme="minorHAnsi"/>
          <w:sz w:val="24"/>
          <w:szCs w:val="24"/>
        </w:rPr>
        <w:t xml:space="preserve">This provides ample scope for contracting arrangements in urban areas for the Essential Health Package (EHP), in addition to strengthening the existing public facilities. The medium of Urban Local Bodies (ULBs) should be used to elicit community participation and address the social determinants of health. The empowered ULBs and Ward Committees can foster community processes. Mass media campaigns, school health programmes and greater involvement of NGOs can introduce ‘health consciousness’ and also advocate behaviour change in respect of ‘health risks’. The existing Institutional framework under NRHM may be followed and expanded into a National Health Mission for providing services in both urban and rural areas. </w:t>
      </w:r>
    </w:p>
    <w:p w:rsidR="006A68A4" w:rsidRPr="00E01039" w:rsidRDefault="006A68A4" w:rsidP="006A68A4">
      <w:pPr>
        <w:autoSpaceDE w:val="0"/>
        <w:autoSpaceDN w:val="0"/>
        <w:adjustRightInd w:val="0"/>
        <w:spacing w:after="0" w:line="264" w:lineRule="auto"/>
        <w:contextualSpacing/>
        <w:jc w:val="both"/>
        <w:rPr>
          <w:rFonts w:asciiTheme="majorHAnsi" w:hAnsiTheme="majorHAnsi" w:cstheme="minorHAnsi"/>
          <w:sz w:val="24"/>
          <w:szCs w:val="24"/>
        </w:rPr>
      </w:pPr>
    </w:p>
    <w:p w:rsidR="006A68A4" w:rsidRDefault="006A68A4" w:rsidP="006A68A4">
      <w:pPr>
        <w:autoSpaceDE w:val="0"/>
        <w:autoSpaceDN w:val="0"/>
        <w:adjustRightInd w:val="0"/>
        <w:spacing w:after="0" w:line="264" w:lineRule="auto"/>
        <w:contextualSpacing/>
        <w:jc w:val="both"/>
        <w:rPr>
          <w:rFonts w:asciiTheme="majorHAnsi" w:hAnsiTheme="majorHAnsi" w:cstheme="minorHAnsi"/>
          <w:bCs/>
          <w:sz w:val="24"/>
          <w:szCs w:val="24"/>
        </w:rPr>
      </w:pPr>
      <w:r w:rsidRPr="00E01039">
        <w:rPr>
          <w:rFonts w:asciiTheme="majorHAnsi" w:hAnsiTheme="majorHAnsi" w:cstheme="minorHAnsi"/>
          <w:bCs/>
          <w:sz w:val="24"/>
          <w:szCs w:val="24"/>
        </w:rPr>
        <w:t>Key features of the proposed UHC should be as follows:</w:t>
      </w:r>
    </w:p>
    <w:p w:rsidR="00EE1B28" w:rsidRPr="00E01039" w:rsidRDefault="00EE1B28" w:rsidP="006A68A4">
      <w:pPr>
        <w:autoSpaceDE w:val="0"/>
        <w:autoSpaceDN w:val="0"/>
        <w:adjustRightInd w:val="0"/>
        <w:spacing w:after="0" w:line="264" w:lineRule="auto"/>
        <w:contextualSpacing/>
        <w:jc w:val="both"/>
        <w:rPr>
          <w:rFonts w:asciiTheme="majorHAnsi" w:hAnsiTheme="majorHAnsi" w:cstheme="minorHAnsi"/>
          <w:bCs/>
          <w:sz w:val="24"/>
          <w:szCs w:val="24"/>
        </w:rPr>
      </w:pPr>
    </w:p>
    <w:p w:rsidR="006A68A4" w:rsidRPr="00E01039" w:rsidRDefault="006A68A4" w:rsidP="006A68A4">
      <w:pPr>
        <w:autoSpaceDE w:val="0"/>
        <w:autoSpaceDN w:val="0"/>
        <w:adjustRightInd w:val="0"/>
        <w:spacing w:after="0" w:line="264" w:lineRule="auto"/>
        <w:contextualSpacing/>
        <w:jc w:val="both"/>
        <w:rPr>
          <w:rFonts w:asciiTheme="majorHAnsi" w:hAnsiTheme="majorHAnsi" w:cstheme="minorHAnsi"/>
          <w:bCs/>
          <w:sz w:val="24"/>
          <w:szCs w:val="24"/>
        </w:rPr>
      </w:pPr>
      <w:r w:rsidRPr="00E01039">
        <w:rPr>
          <w:rFonts w:asciiTheme="majorHAnsi" w:hAnsiTheme="majorHAnsi" w:cstheme="minorHAnsi"/>
          <w:sz w:val="24"/>
          <w:szCs w:val="24"/>
        </w:rPr>
        <w:t>Universal Health Care (UHC) should be financed by Central and State Governmentson a 85:15 sharing basis. Central assistance should be made available to States throughAdditional Central Assistance through a scheme along the lines of Rashtriya Krishi VikasYojana (RKVY) after signing a MoU. Since NRHM already includes some beneficiaryoriented components that overlap with UHC, a proportional re-allocation of NRHM outlaytowards UHC should be done at the budgeting stage itself. For the States to be eligible foravailing the Additional Central Assistance for UHC, each State should ensure that the shareof medical and public health in its Plan and Non-Plan budget is at least maintained at theaverage for the last three years. States can include additional services in EHP, costs ofwhich they would be expected to meet from their own resources. Services in addition toEHP may be purchased by families from the open market as additional top-ups at their own cost.</w:t>
      </w:r>
    </w:p>
    <w:p w:rsidR="006A68A4" w:rsidRPr="00E01039" w:rsidRDefault="006A68A4" w:rsidP="006A68A4">
      <w:pPr>
        <w:autoSpaceDE w:val="0"/>
        <w:autoSpaceDN w:val="0"/>
        <w:adjustRightInd w:val="0"/>
        <w:spacing w:after="0" w:line="264" w:lineRule="auto"/>
        <w:contextualSpacing/>
        <w:jc w:val="both"/>
        <w:rPr>
          <w:rFonts w:asciiTheme="majorHAnsi" w:hAnsiTheme="majorHAnsi" w:cstheme="minorHAnsi"/>
          <w:sz w:val="24"/>
          <w:szCs w:val="24"/>
        </w:rPr>
      </w:pPr>
    </w:p>
    <w:p w:rsidR="006A68A4" w:rsidRPr="00E01039" w:rsidRDefault="006A68A4" w:rsidP="006A68A4">
      <w:pPr>
        <w:autoSpaceDE w:val="0"/>
        <w:autoSpaceDN w:val="0"/>
        <w:adjustRightInd w:val="0"/>
        <w:spacing w:after="0" w:line="264" w:lineRule="auto"/>
        <w:contextualSpacing/>
        <w:jc w:val="both"/>
        <w:rPr>
          <w:rFonts w:asciiTheme="majorHAnsi" w:hAnsiTheme="majorHAnsi" w:cstheme="minorHAnsi"/>
          <w:sz w:val="24"/>
          <w:szCs w:val="24"/>
        </w:rPr>
      </w:pPr>
      <w:r w:rsidRPr="00E01039">
        <w:rPr>
          <w:rFonts w:asciiTheme="majorHAnsi" w:hAnsiTheme="majorHAnsi" w:cstheme="minorHAnsi"/>
          <w:sz w:val="24"/>
          <w:szCs w:val="24"/>
        </w:rPr>
        <w:lastRenderedPageBreak/>
        <w:t xml:space="preserve"> An Essential Health Package (EHP) covering out-patient and in-patient healthcare should be provided as an entitlement to every family resident in the area. To begin with, core components of the EHP must include all the preventive, promotive, curative and rehabilitatory services in routine and emergency settings available under RCH and national health programmes (listed in Table-2). To focus on prevention, and to reduce out-of-pocket expenditure on ambulatory care, two-thirds of the EHP funding per family should be reserved for out-patient care, and the remaining for in-patient care. </w:t>
      </w:r>
    </w:p>
    <w:p w:rsidR="006A68A4" w:rsidRPr="00E01039" w:rsidRDefault="006A68A4" w:rsidP="006A68A4">
      <w:pPr>
        <w:autoSpaceDE w:val="0"/>
        <w:autoSpaceDN w:val="0"/>
        <w:adjustRightInd w:val="0"/>
        <w:spacing w:after="0" w:line="264" w:lineRule="auto"/>
        <w:contextualSpacing/>
        <w:jc w:val="both"/>
        <w:rPr>
          <w:rFonts w:asciiTheme="majorHAnsi" w:hAnsiTheme="majorHAnsi" w:cstheme="minorHAnsi"/>
          <w:sz w:val="24"/>
          <w:szCs w:val="24"/>
        </w:rPr>
      </w:pPr>
    </w:p>
    <w:p w:rsidR="006A68A4" w:rsidRPr="00E01039" w:rsidRDefault="006A68A4" w:rsidP="006A68A4">
      <w:pPr>
        <w:autoSpaceDE w:val="0"/>
        <w:autoSpaceDN w:val="0"/>
        <w:adjustRightInd w:val="0"/>
        <w:spacing w:after="0" w:line="264" w:lineRule="auto"/>
        <w:contextualSpacing/>
        <w:jc w:val="both"/>
        <w:rPr>
          <w:rFonts w:asciiTheme="majorHAnsi" w:hAnsiTheme="majorHAnsi" w:cstheme="minorHAnsi"/>
          <w:sz w:val="24"/>
          <w:szCs w:val="24"/>
        </w:rPr>
      </w:pPr>
      <w:r w:rsidRPr="00E01039">
        <w:rPr>
          <w:rFonts w:asciiTheme="majorHAnsi" w:hAnsiTheme="majorHAnsi" w:cstheme="minorHAnsi"/>
          <w:sz w:val="24"/>
          <w:szCs w:val="24"/>
        </w:rPr>
        <w:t xml:space="preserve">Systems for financial and operational autonomy of public health care facilities should be developed, enabling them to receive credits for the EHP services provided, which they might use for getting the needed supplies of medicines and </w:t>
      </w:r>
      <w:r w:rsidR="00B60A4B" w:rsidRPr="00E01039">
        <w:rPr>
          <w:rFonts w:asciiTheme="majorHAnsi" w:hAnsiTheme="majorHAnsi" w:cstheme="minorHAnsi"/>
          <w:sz w:val="24"/>
          <w:szCs w:val="24"/>
        </w:rPr>
        <w:t>equipment</w:t>
      </w:r>
      <w:r w:rsidRPr="00E01039">
        <w:rPr>
          <w:rFonts w:asciiTheme="majorHAnsi" w:hAnsiTheme="majorHAnsi" w:cstheme="minorHAnsi"/>
          <w:sz w:val="24"/>
          <w:szCs w:val="24"/>
        </w:rPr>
        <w:t xml:space="preserve">, and for paying incentives to employees within ceilings specified by the State. Thereby, funding for drugs and consumables would be linked to case load in the facility. Public health care facilities should earn credits for providing EHP to families enrolled with them, which could be used for a defined set of items, like obtaining additional supplies of drugs, consumables and equipment, renovation of facility and incentives to employees.  The EHP should include linkage of providers to Government pharmacies (in case of public facility) and a network of Jan Aushadhi stores (in case of private provider/facility) for a prescription based, full and free access to essential, generic medicines. </w:t>
      </w:r>
    </w:p>
    <w:p w:rsidR="006A68A4" w:rsidRPr="00E01039" w:rsidRDefault="006A68A4" w:rsidP="006A68A4">
      <w:pPr>
        <w:autoSpaceDE w:val="0"/>
        <w:autoSpaceDN w:val="0"/>
        <w:adjustRightInd w:val="0"/>
        <w:spacing w:after="0" w:line="264" w:lineRule="auto"/>
        <w:contextualSpacing/>
        <w:jc w:val="both"/>
        <w:rPr>
          <w:rFonts w:asciiTheme="majorHAnsi" w:hAnsiTheme="majorHAnsi" w:cstheme="minorHAnsi"/>
          <w:sz w:val="24"/>
          <w:szCs w:val="24"/>
        </w:rPr>
      </w:pPr>
    </w:p>
    <w:p w:rsidR="006A68A4" w:rsidRDefault="006A68A4" w:rsidP="006A68A4">
      <w:pPr>
        <w:autoSpaceDE w:val="0"/>
        <w:autoSpaceDN w:val="0"/>
        <w:adjustRightInd w:val="0"/>
        <w:spacing w:after="0" w:line="264" w:lineRule="auto"/>
        <w:contextualSpacing/>
        <w:jc w:val="both"/>
        <w:rPr>
          <w:rFonts w:asciiTheme="majorHAnsi" w:hAnsiTheme="majorHAnsi" w:cstheme="minorHAnsi"/>
          <w:sz w:val="24"/>
          <w:szCs w:val="24"/>
        </w:rPr>
      </w:pPr>
      <w:r w:rsidRPr="00E01039">
        <w:rPr>
          <w:rFonts w:asciiTheme="majorHAnsi" w:hAnsiTheme="majorHAnsi" w:cstheme="minorHAnsi"/>
          <w:sz w:val="24"/>
          <w:szCs w:val="24"/>
        </w:rPr>
        <w:t>For secondary and tertiary care, the primary provider should be the gatekeeper for referring the patients/ families to a facility of their choice from amongst empaneled public and private providers. Ambulatory care under the EHP should be paid using a ‘Capitation Fee Model’, whereby each provider receives a designated sum on a per family per annum basis. In case of in-patient care, the payment structure should be 'fee for service' as followed in existing Government sponsored health insurance schemes.</w:t>
      </w:r>
    </w:p>
    <w:p w:rsidR="00EE1B28" w:rsidRPr="00E01039" w:rsidRDefault="00EE1B28" w:rsidP="006A68A4">
      <w:pPr>
        <w:autoSpaceDE w:val="0"/>
        <w:autoSpaceDN w:val="0"/>
        <w:adjustRightInd w:val="0"/>
        <w:spacing w:after="0" w:line="264" w:lineRule="auto"/>
        <w:contextualSpacing/>
        <w:jc w:val="both"/>
        <w:rPr>
          <w:rFonts w:asciiTheme="majorHAnsi" w:hAnsiTheme="majorHAnsi" w:cstheme="minorHAnsi"/>
          <w:sz w:val="24"/>
          <w:szCs w:val="24"/>
        </w:rPr>
      </w:pPr>
    </w:p>
    <w:p w:rsidR="006A68A4" w:rsidRPr="00E01039" w:rsidRDefault="006A68A4" w:rsidP="006A68A4">
      <w:pPr>
        <w:autoSpaceDE w:val="0"/>
        <w:autoSpaceDN w:val="0"/>
        <w:adjustRightInd w:val="0"/>
        <w:spacing w:after="0" w:line="264" w:lineRule="auto"/>
        <w:contextualSpacing/>
        <w:jc w:val="both"/>
        <w:rPr>
          <w:rFonts w:asciiTheme="majorHAnsi" w:hAnsiTheme="majorHAnsi" w:cstheme="minorHAnsi"/>
          <w:sz w:val="24"/>
          <w:szCs w:val="24"/>
        </w:rPr>
      </w:pPr>
      <w:r w:rsidRPr="00E01039">
        <w:rPr>
          <w:rFonts w:asciiTheme="majorHAnsi" w:hAnsiTheme="majorHAnsi" w:cstheme="minorHAnsi"/>
          <w:sz w:val="24"/>
          <w:szCs w:val="24"/>
        </w:rPr>
        <w:t>Before rolling out UHC in pilot mode, preparations for the following items need to be initiated:</w:t>
      </w:r>
    </w:p>
    <w:p w:rsidR="006A68A4" w:rsidRPr="00E01039" w:rsidRDefault="006A68A4" w:rsidP="006A68A4">
      <w:pPr>
        <w:autoSpaceDE w:val="0"/>
        <w:autoSpaceDN w:val="0"/>
        <w:adjustRightInd w:val="0"/>
        <w:spacing w:after="0" w:line="264" w:lineRule="auto"/>
        <w:contextualSpacing/>
        <w:jc w:val="both"/>
        <w:rPr>
          <w:rFonts w:asciiTheme="majorHAnsi" w:hAnsiTheme="majorHAnsi" w:cstheme="minorHAnsi"/>
          <w:sz w:val="24"/>
          <w:szCs w:val="24"/>
        </w:rPr>
      </w:pPr>
      <w:r w:rsidRPr="00E01039">
        <w:rPr>
          <w:rFonts w:asciiTheme="majorHAnsi" w:hAnsiTheme="majorHAnsi" w:cstheme="minorHAnsi"/>
          <w:sz w:val="24"/>
          <w:szCs w:val="24"/>
        </w:rPr>
        <w:t>i. Prepare the UHC Plan along with the District Health Action Plan (DHAP) of NRHM for the pilot district and identify the items to be covered for EHP;</w:t>
      </w:r>
    </w:p>
    <w:p w:rsidR="006A68A4" w:rsidRPr="00E01039" w:rsidRDefault="006A68A4" w:rsidP="006A68A4">
      <w:pPr>
        <w:autoSpaceDE w:val="0"/>
        <w:autoSpaceDN w:val="0"/>
        <w:adjustRightInd w:val="0"/>
        <w:spacing w:after="0" w:line="264" w:lineRule="auto"/>
        <w:contextualSpacing/>
        <w:jc w:val="both"/>
        <w:rPr>
          <w:rFonts w:asciiTheme="majorHAnsi" w:hAnsiTheme="majorHAnsi" w:cstheme="minorHAnsi"/>
          <w:sz w:val="24"/>
          <w:szCs w:val="24"/>
        </w:rPr>
      </w:pPr>
      <w:r w:rsidRPr="00E01039">
        <w:rPr>
          <w:rFonts w:asciiTheme="majorHAnsi" w:hAnsiTheme="majorHAnsi" w:cstheme="minorHAnsi"/>
          <w:sz w:val="24"/>
          <w:szCs w:val="24"/>
        </w:rPr>
        <w:t>ii. Frame and ensure compliance with Standard Treatment Guidelines;</w:t>
      </w:r>
    </w:p>
    <w:p w:rsidR="006A68A4" w:rsidRPr="00E01039" w:rsidRDefault="006A68A4" w:rsidP="006A68A4">
      <w:pPr>
        <w:autoSpaceDE w:val="0"/>
        <w:autoSpaceDN w:val="0"/>
        <w:adjustRightInd w:val="0"/>
        <w:spacing w:after="0" w:line="264" w:lineRule="auto"/>
        <w:contextualSpacing/>
        <w:jc w:val="both"/>
        <w:rPr>
          <w:rFonts w:asciiTheme="majorHAnsi" w:hAnsiTheme="majorHAnsi" w:cstheme="minorHAnsi"/>
          <w:sz w:val="24"/>
          <w:szCs w:val="24"/>
        </w:rPr>
      </w:pPr>
      <w:r w:rsidRPr="00E01039">
        <w:rPr>
          <w:rFonts w:asciiTheme="majorHAnsi" w:hAnsiTheme="majorHAnsi" w:cstheme="minorHAnsi"/>
          <w:sz w:val="24"/>
          <w:szCs w:val="24"/>
        </w:rPr>
        <w:t>iii. Strengthen the State and District programme management units to implement the EHP;</w:t>
      </w:r>
    </w:p>
    <w:p w:rsidR="006A68A4" w:rsidRPr="00E01039" w:rsidRDefault="006A68A4" w:rsidP="006A68A4">
      <w:pPr>
        <w:autoSpaceDE w:val="0"/>
        <w:autoSpaceDN w:val="0"/>
        <w:adjustRightInd w:val="0"/>
        <w:spacing w:after="0" w:line="264" w:lineRule="auto"/>
        <w:contextualSpacing/>
        <w:jc w:val="both"/>
        <w:rPr>
          <w:rFonts w:asciiTheme="majorHAnsi" w:hAnsiTheme="majorHAnsi" w:cstheme="minorHAnsi"/>
          <w:sz w:val="24"/>
          <w:szCs w:val="24"/>
        </w:rPr>
      </w:pPr>
      <w:r w:rsidRPr="00E01039">
        <w:rPr>
          <w:rFonts w:asciiTheme="majorHAnsi" w:hAnsiTheme="majorHAnsi" w:cstheme="minorHAnsi"/>
          <w:sz w:val="24"/>
          <w:szCs w:val="24"/>
        </w:rPr>
        <w:t>iv. Empanel private providers following due-diligence and introduce a transparent selection system;</w:t>
      </w:r>
    </w:p>
    <w:p w:rsidR="006A68A4" w:rsidRPr="00E01039" w:rsidRDefault="006A68A4" w:rsidP="006A68A4">
      <w:pPr>
        <w:autoSpaceDE w:val="0"/>
        <w:autoSpaceDN w:val="0"/>
        <w:adjustRightInd w:val="0"/>
        <w:spacing w:after="0" w:line="264" w:lineRule="auto"/>
        <w:contextualSpacing/>
        <w:jc w:val="both"/>
        <w:rPr>
          <w:rFonts w:asciiTheme="majorHAnsi" w:hAnsiTheme="majorHAnsi" w:cstheme="minorHAnsi"/>
          <w:sz w:val="24"/>
          <w:szCs w:val="24"/>
        </w:rPr>
      </w:pPr>
      <w:r w:rsidRPr="00E01039">
        <w:rPr>
          <w:rFonts w:asciiTheme="majorHAnsi" w:hAnsiTheme="majorHAnsi" w:cstheme="minorHAnsi"/>
          <w:sz w:val="24"/>
          <w:szCs w:val="24"/>
        </w:rPr>
        <w:t>v. Enlist beneficiary households and issue ‘Entitlement Cards’;</w:t>
      </w:r>
    </w:p>
    <w:p w:rsidR="006A68A4" w:rsidRPr="00E01039" w:rsidRDefault="006A68A4" w:rsidP="006A68A4">
      <w:pPr>
        <w:autoSpaceDE w:val="0"/>
        <w:autoSpaceDN w:val="0"/>
        <w:adjustRightInd w:val="0"/>
        <w:spacing w:after="0" w:line="264" w:lineRule="auto"/>
        <w:contextualSpacing/>
        <w:jc w:val="both"/>
        <w:rPr>
          <w:rFonts w:asciiTheme="majorHAnsi" w:hAnsiTheme="majorHAnsi" w:cstheme="minorHAnsi"/>
          <w:sz w:val="24"/>
          <w:szCs w:val="24"/>
        </w:rPr>
      </w:pPr>
      <w:r w:rsidRPr="00E01039">
        <w:rPr>
          <w:rFonts w:asciiTheme="majorHAnsi" w:hAnsiTheme="majorHAnsi" w:cstheme="minorHAnsi"/>
          <w:sz w:val="24"/>
          <w:szCs w:val="24"/>
        </w:rPr>
        <w:t>vi. Build an effective system of community involvement in planning, management, oversight and accountability;</w:t>
      </w:r>
    </w:p>
    <w:p w:rsidR="006A68A4" w:rsidRPr="00E01039" w:rsidRDefault="006A68A4" w:rsidP="006A68A4">
      <w:pPr>
        <w:autoSpaceDE w:val="0"/>
        <w:autoSpaceDN w:val="0"/>
        <w:adjustRightInd w:val="0"/>
        <w:spacing w:after="0" w:line="264" w:lineRule="auto"/>
        <w:contextualSpacing/>
        <w:jc w:val="both"/>
        <w:rPr>
          <w:rFonts w:asciiTheme="majorHAnsi" w:hAnsiTheme="majorHAnsi" w:cstheme="minorHAnsi"/>
          <w:sz w:val="24"/>
          <w:szCs w:val="24"/>
        </w:rPr>
      </w:pPr>
      <w:r w:rsidRPr="00E01039">
        <w:rPr>
          <w:rFonts w:asciiTheme="majorHAnsi" w:hAnsiTheme="majorHAnsi" w:cstheme="minorHAnsi"/>
          <w:sz w:val="24"/>
          <w:szCs w:val="24"/>
        </w:rPr>
        <w:t>vii. Build an effective community oversight and grievance redressal system through active involvement of Local Self-Government agencies and civil society;</w:t>
      </w:r>
    </w:p>
    <w:p w:rsidR="006A68A4" w:rsidRPr="00E01039" w:rsidRDefault="006A68A4" w:rsidP="006A68A4">
      <w:pPr>
        <w:spacing w:line="264" w:lineRule="auto"/>
        <w:contextualSpacing/>
        <w:jc w:val="both"/>
        <w:rPr>
          <w:rFonts w:asciiTheme="majorHAnsi" w:hAnsiTheme="majorHAnsi" w:cstheme="minorHAnsi"/>
          <w:sz w:val="24"/>
          <w:szCs w:val="24"/>
        </w:rPr>
      </w:pPr>
      <w:r w:rsidRPr="00E01039">
        <w:rPr>
          <w:rFonts w:asciiTheme="majorHAnsi" w:hAnsiTheme="majorHAnsi" w:cstheme="minorHAnsi"/>
          <w:sz w:val="24"/>
          <w:szCs w:val="24"/>
        </w:rPr>
        <w:t>viii. Develop and strengthen Monitoring and Evaluation Mechanisms.</w:t>
      </w:r>
    </w:p>
    <w:p w:rsidR="006A68A4" w:rsidRDefault="006A68A4" w:rsidP="006A68A4">
      <w:pPr>
        <w:spacing w:line="264" w:lineRule="auto"/>
        <w:contextualSpacing/>
        <w:rPr>
          <w:rFonts w:asciiTheme="majorHAnsi" w:hAnsiTheme="majorHAnsi" w:cstheme="minorHAnsi"/>
          <w:sz w:val="24"/>
          <w:szCs w:val="24"/>
        </w:rPr>
      </w:pPr>
      <w:r w:rsidRPr="00E01039">
        <w:rPr>
          <w:rFonts w:asciiTheme="majorHAnsi" w:hAnsiTheme="majorHAnsi" w:cstheme="minorHAnsi"/>
          <w:sz w:val="24"/>
          <w:szCs w:val="24"/>
        </w:rPr>
        <w:lastRenderedPageBreak/>
        <w:t>4) Report of High Level Expert Group on Systems of Regulation for Health under 12</w:t>
      </w:r>
      <w:r w:rsidRPr="00E01039">
        <w:rPr>
          <w:rFonts w:asciiTheme="majorHAnsi" w:hAnsiTheme="majorHAnsi" w:cstheme="minorHAnsi"/>
          <w:sz w:val="24"/>
          <w:szCs w:val="24"/>
          <w:vertAlign w:val="superscript"/>
        </w:rPr>
        <w:t>th</w:t>
      </w:r>
      <w:r w:rsidRPr="00E01039">
        <w:rPr>
          <w:rFonts w:asciiTheme="majorHAnsi" w:hAnsiTheme="majorHAnsi" w:cstheme="minorHAnsi"/>
          <w:sz w:val="24"/>
          <w:szCs w:val="24"/>
        </w:rPr>
        <w:t xml:space="preserve"> Five Year Plan</w:t>
      </w:r>
    </w:p>
    <w:p w:rsidR="00EE1B28" w:rsidRDefault="00EE1B28" w:rsidP="006A68A4">
      <w:pPr>
        <w:spacing w:line="264" w:lineRule="auto"/>
        <w:contextualSpacing/>
        <w:rPr>
          <w:rFonts w:asciiTheme="majorHAnsi" w:hAnsiTheme="majorHAnsi" w:cstheme="minorHAnsi"/>
          <w:sz w:val="24"/>
          <w:szCs w:val="24"/>
        </w:rPr>
      </w:pPr>
    </w:p>
    <w:p w:rsidR="00EE1B28" w:rsidRDefault="00EE1B28" w:rsidP="006A68A4">
      <w:pPr>
        <w:spacing w:line="264" w:lineRule="auto"/>
        <w:contextualSpacing/>
        <w:rPr>
          <w:rFonts w:asciiTheme="majorHAnsi" w:hAnsiTheme="majorHAnsi" w:cstheme="minorHAnsi"/>
          <w:sz w:val="24"/>
          <w:szCs w:val="24"/>
        </w:rPr>
      </w:pPr>
    </w:p>
    <w:p w:rsidR="006A68A4" w:rsidRPr="00E01039" w:rsidRDefault="006A68A4" w:rsidP="006A68A4">
      <w:pPr>
        <w:spacing w:line="264" w:lineRule="auto"/>
        <w:contextualSpacing/>
        <w:jc w:val="center"/>
        <w:rPr>
          <w:rFonts w:asciiTheme="majorHAnsi" w:hAnsiTheme="majorHAnsi" w:cstheme="minorHAnsi"/>
          <w:i/>
          <w:sz w:val="24"/>
          <w:szCs w:val="24"/>
        </w:rPr>
      </w:pPr>
      <w:r w:rsidRPr="00E01039">
        <w:rPr>
          <w:rFonts w:asciiTheme="majorHAnsi" w:hAnsiTheme="majorHAnsi" w:cstheme="minorHAnsi"/>
          <w:i/>
          <w:sz w:val="24"/>
          <w:szCs w:val="24"/>
        </w:rPr>
        <w:t>What if any should be the role of the private sector and what should be the systems of regulation of private and public health services?</w:t>
      </w:r>
    </w:p>
    <w:p w:rsidR="006A68A4" w:rsidRPr="00CB7C29" w:rsidRDefault="00EE1B28" w:rsidP="006A68A4">
      <w:pPr>
        <w:pStyle w:val="Heading2"/>
        <w:keepLines w:val="0"/>
        <w:widowControl w:val="0"/>
        <w:numPr>
          <w:ilvl w:val="1"/>
          <w:numId w:val="16"/>
        </w:numPr>
        <w:suppressAutoHyphens/>
        <w:spacing w:before="240" w:after="120" w:line="264" w:lineRule="auto"/>
        <w:contextualSpacing/>
        <w:jc w:val="both"/>
        <w:rPr>
          <w:i/>
          <w:iCs/>
          <w:color w:val="auto"/>
          <w:sz w:val="24"/>
          <w:szCs w:val="24"/>
        </w:rPr>
      </w:pPr>
      <w:r w:rsidRPr="00CB7C29">
        <w:rPr>
          <w:color w:val="auto"/>
          <w:sz w:val="24"/>
          <w:szCs w:val="24"/>
        </w:rPr>
        <w:t>Regulatory Frameworks: 1</w:t>
      </w:r>
      <w:r w:rsidR="006A68A4" w:rsidRPr="00CB7C29">
        <w:rPr>
          <w:color w:val="auto"/>
          <w:sz w:val="24"/>
          <w:szCs w:val="24"/>
        </w:rPr>
        <w:t>2</w:t>
      </w:r>
      <w:r w:rsidR="006A68A4" w:rsidRPr="00CB7C29">
        <w:rPr>
          <w:color w:val="auto"/>
          <w:sz w:val="24"/>
          <w:szCs w:val="24"/>
          <w:vertAlign w:val="superscript"/>
        </w:rPr>
        <w:t>th</w:t>
      </w:r>
      <w:r w:rsidR="006A68A4" w:rsidRPr="00CB7C29">
        <w:rPr>
          <w:color w:val="auto"/>
          <w:sz w:val="24"/>
          <w:szCs w:val="24"/>
        </w:rPr>
        <w:t xml:space="preserve"> Plan</w:t>
      </w:r>
    </w:p>
    <w:p w:rsidR="006A68A4" w:rsidRPr="00E01039" w:rsidRDefault="006A68A4" w:rsidP="006A68A4">
      <w:pPr>
        <w:pStyle w:val="BodyText"/>
        <w:spacing w:line="264" w:lineRule="auto"/>
        <w:contextualSpacing/>
        <w:rPr>
          <w:rFonts w:asciiTheme="majorHAnsi" w:hAnsiTheme="majorHAnsi"/>
          <w:sz w:val="24"/>
          <w:szCs w:val="24"/>
        </w:rPr>
      </w:pPr>
      <w:r w:rsidRPr="00E01039">
        <w:rPr>
          <w:rFonts w:asciiTheme="majorHAnsi" w:hAnsiTheme="majorHAnsi"/>
          <w:sz w:val="24"/>
          <w:szCs w:val="24"/>
        </w:rPr>
        <w:t>The 12</w:t>
      </w:r>
      <w:r w:rsidRPr="00E01039">
        <w:rPr>
          <w:rFonts w:asciiTheme="majorHAnsi" w:hAnsiTheme="majorHAnsi"/>
          <w:sz w:val="24"/>
          <w:szCs w:val="24"/>
          <w:vertAlign w:val="superscript"/>
        </w:rPr>
        <w:t>th</w:t>
      </w:r>
      <w:r w:rsidRPr="00E01039">
        <w:rPr>
          <w:rFonts w:asciiTheme="majorHAnsi" w:hAnsiTheme="majorHAnsi"/>
          <w:sz w:val="24"/>
          <w:szCs w:val="24"/>
        </w:rPr>
        <w:t xml:space="preserve"> Plan document notes that “Inadequate regulatory standards in many health and health related fields have been a major problem in India.” The 12</w:t>
      </w:r>
      <w:r w:rsidRPr="00E01039">
        <w:rPr>
          <w:rFonts w:asciiTheme="majorHAnsi" w:hAnsiTheme="majorHAnsi"/>
          <w:sz w:val="24"/>
          <w:szCs w:val="24"/>
          <w:vertAlign w:val="superscript"/>
        </w:rPr>
        <w:t>th</w:t>
      </w:r>
      <w:r w:rsidRPr="00E01039">
        <w:rPr>
          <w:rFonts w:asciiTheme="majorHAnsi" w:hAnsiTheme="majorHAnsi"/>
          <w:sz w:val="24"/>
          <w:szCs w:val="24"/>
        </w:rPr>
        <w:t xml:space="preserve"> Plan further lists the major advances made in regulation of private and public health services in the 11</w:t>
      </w:r>
      <w:r w:rsidRPr="00E01039">
        <w:rPr>
          <w:rFonts w:asciiTheme="majorHAnsi" w:hAnsiTheme="majorHAnsi"/>
          <w:sz w:val="24"/>
          <w:szCs w:val="24"/>
          <w:vertAlign w:val="superscript"/>
        </w:rPr>
        <w:t>th</w:t>
      </w:r>
      <w:r w:rsidRPr="00E01039">
        <w:rPr>
          <w:rFonts w:asciiTheme="majorHAnsi" w:hAnsiTheme="majorHAnsi"/>
          <w:sz w:val="24"/>
          <w:szCs w:val="24"/>
        </w:rPr>
        <w:t xml:space="preserve"> Plan period as follows:</w:t>
      </w:r>
    </w:p>
    <w:p w:rsidR="006A68A4" w:rsidRDefault="006A68A4" w:rsidP="006A68A4">
      <w:pPr>
        <w:pStyle w:val="ListParagraph"/>
        <w:numPr>
          <w:ilvl w:val="0"/>
          <w:numId w:val="17"/>
        </w:numPr>
        <w:spacing w:after="0" w:line="264" w:lineRule="auto"/>
        <w:jc w:val="both"/>
        <w:rPr>
          <w:rFonts w:asciiTheme="majorHAnsi" w:hAnsiTheme="majorHAnsi"/>
          <w:sz w:val="24"/>
          <w:szCs w:val="24"/>
        </w:rPr>
      </w:pPr>
      <w:r w:rsidRPr="00E01039">
        <w:rPr>
          <w:rFonts w:asciiTheme="majorHAnsi" w:hAnsiTheme="majorHAnsi"/>
          <w:sz w:val="24"/>
          <w:szCs w:val="24"/>
        </w:rPr>
        <w:t>Enactment of the Clinical Establishments (Registration and Regulation) Act, 2010- and the notification of Clinical Establishments (Central Government) Rules, 2012 under this Act, The Act has come into force in the States of Arunachal Pradesh, Himachal Pradesh, Mizoram, Sikkim, and all Union Territories. The States of Uttar Pradesh, Jharkhand and Rajasthan have adopted this Act under clause (1) of Article 252 of the Constitution. Once adopted, State Governments are obliged to designate district authorities for the registration of Clinical Establishments. Under the notified rules, no person can run a Clinical Establishment unless it is duly registered in accordance with the provisions of the Act- and all clinical establishments are mandated to charge the rates for each type of procedure and service the within the range of rates determined by the Central government in consultation with States. States which are currently having legislations on registration of clinical establishments are Andhra Pradesh, Maharashtra, Delhi, Madhya Pradesh, Manipur, Nagaland, Orissa, Punjab, and West Bengal. Many of these laws have major gaps, and the Plan recommends that all States would be persuaded to adopt the Central Act under clause (1) of article 252 of the Constitution.</w:t>
      </w:r>
    </w:p>
    <w:p w:rsidR="00CB7C29" w:rsidRPr="00E01039" w:rsidRDefault="00CB7C29" w:rsidP="00D41E2A">
      <w:pPr>
        <w:pStyle w:val="ListParagraph"/>
        <w:spacing w:after="0" w:line="264" w:lineRule="auto"/>
        <w:ind w:left="540"/>
        <w:jc w:val="both"/>
        <w:rPr>
          <w:rFonts w:asciiTheme="majorHAnsi" w:hAnsiTheme="majorHAnsi"/>
          <w:sz w:val="24"/>
          <w:szCs w:val="24"/>
        </w:rPr>
      </w:pPr>
    </w:p>
    <w:p w:rsidR="006A68A4" w:rsidRDefault="00CB7C29" w:rsidP="006A68A4">
      <w:pPr>
        <w:pStyle w:val="ListParagraph"/>
        <w:numPr>
          <w:ilvl w:val="0"/>
          <w:numId w:val="17"/>
        </w:numPr>
        <w:spacing w:after="0" w:line="264" w:lineRule="auto"/>
        <w:jc w:val="both"/>
        <w:rPr>
          <w:rFonts w:asciiTheme="majorHAnsi" w:hAnsiTheme="majorHAnsi"/>
          <w:sz w:val="24"/>
          <w:szCs w:val="24"/>
        </w:rPr>
      </w:pPr>
      <w:r>
        <w:rPr>
          <w:rFonts w:asciiTheme="majorHAnsi" w:hAnsiTheme="majorHAnsi"/>
          <w:sz w:val="24"/>
          <w:szCs w:val="24"/>
        </w:rPr>
        <w:t xml:space="preserve">Improved implementation, and </w:t>
      </w:r>
      <w:r w:rsidR="006A68A4" w:rsidRPr="00E01039">
        <w:rPr>
          <w:rFonts w:asciiTheme="majorHAnsi" w:hAnsiTheme="majorHAnsi"/>
          <w:sz w:val="24"/>
          <w:szCs w:val="24"/>
        </w:rPr>
        <w:t xml:space="preserve">further amendments in rules under the </w:t>
      </w:r>
      <w:r w:rsidR="006A68A4" w:rsidRPr="00E01039">
        <w:rPr>
          <w:rFonts w:asciiTheme="majorHAnsi" w:hAnsiTheme="majorHAnsi"/>
          <w:bCs/>
          <w:sz w:val="24"/>
          <w:szCs w:val="24"/>
        </w:rPr>
        <w:t>Pre-Conception and Pre-Natal Diagnostic Techniques (Prohibition of Sex Selection) Act, 1994</w:t>
      </w:r>
      <w:r w:rsidR="006A68A4" w:rsidRPr="00E01039">
        <w:rPr>
          <w:rFonts w:asciiTheme="majorHAnsi" w:hAnsiTheme="majorHAnsi"/>
          <w:sz w:val="24"/>
          <w:szCs w:val="24"/>
        </w:rPr>
        <w:t xml:space="preserve">, including amendment to Rule 11 (2) of the PC &amp; PNDT Rules, 1996 to provide for confiscation of unregistered machines and regulating the use of portable ultrasound equipment and services offered by mobile  clinics. </w:t>
      </w:r>
    </w:p>
    <w:p w:rsidR="00D024C7" w:rsidRPr="00D024C7" w:rsidRDefault="00D024C7" w:rsidP="00D024C7">
      <w:pPr>
        <w:pStyle w:val="ListParagraph"/>
        <w:rPr>
          <w:rFonts w:asciiTheme="majorHAnsi" w:hAnsiTheme="majorHAnsi"/>
          <w:sz w:val="24"/>
          <w:szCs w:val="24"/>
        </w:rPr>
      </w:pPr>
    </w:p>
    <w:p w:rsidR="00D024C7" w:rsidRPr="00E01039" w:rsidRDefault="00D024C7" w:rsidP="00D024C7">
      <w:pPr>
        <w:pStyle w:val="ListParagraph"/>
        <w:spacing w:after="0" w:line="264" w:lineRule="auto"/>
        <w:ind w:left="540"/>
        <w:jc w:val="both"/>
        <w:rPr>
          <w:rFonts w:asciiTheme="majorHAnsi" w:hAnsiTheme="majorHAnsi"/>
          <w:sz w:val="24"/>
          <w:szCs w:val="24"/>
        </w:rPr>
      </w:pPr>
    </w:p>
    <w:p w:rsidR="006A68A4" w:rsidRPr="00E01039" w:rsidRDefault="006A68A4" w:rsidP="006A68A4">
      <w:pPr>
        <w:spacing w:line="264" w:lineRule="auto"/>
        <w:contextualSpacing/>
        <w:jc w:val="both"/>
        <w:rPr>
          <w:rFonts w:asciiTheme="majorHAnsi" w:hAnsiTheme="majorHAnsi"/>
          <w:sz w:val="24"/>
          <w:szCs w:val="24"/>
        </w:rPr>
      </w:pPr>
    </w:p>
    <w:p w:rsidR="006A68A4" w:rsidRPr="00E01039" w:rsidRDefault="006A68A4" w:rsidP="006A68A4">
      <w:pPr>
        <w:spacing w:line="264" w:lineRule="auto"/>
        <w:contextualSpacing/>
        <w:jc w:val="both"/>
        <w:rPr>
          <w:rFonts w:asciiTheme="majorHAnsi" w:hAnsiTheme="majorHAnsi"/>
          <w:sz w:val="24"/>
          <w:szCs w:val="24"/>
        </w:rPr>
      </w:pPr>
    </w:p>
    <w:p w:rsidR="006A68A4" w:rsidRPr="00D41E2A" w:rsidRDefault="006A68A4" w:rsidP="006A68A4">
      <w:pPr>
        <w:spacing w:line="264" w:lineRule="auto"/>
        <w:contextualSpacing/>
        <w:jc w:val="both"/>
        <w:rPr>
          <w:rFonts w:asciiTheme="majorHAnsi" w:hAnsiTheme="majorHAnsi"/>
          <w:b/>
          <w:sz w:val="24"/>
          <w:szCs w:val="24"/>
        </w:rPr>
      </w:pPr>
      <w:r w:rsidRPr="00D41E2A">
        <w:rPr>
          <w:rFonts w:asciiTheme="majorHAnsi" w:hAnsiTheme="majorHAnsi"/>
          <w:b/>
          <w:sz w:val="24"/>
          <w:szCs w:val="24"/>
        </w:rPr>
        <w:t>High Level Expert grou</w:t>
      </w:r>
      <w:r w:rsidR="00D41E2A" w:rsidRPr="00D41E2A">
        <w:rPr>
          <w:rFonts w:asciiTheme="majorHAnsi" w:hAnsiTheme="majorHAnsi"/>
          <w:b/>
          <w:sz w:val="24"/>
          <w:szCs w:val="24"/>
        </w:rPr>
        <w:t>p Recommendations on Regulation</w:t>
      </w:r>
    </w:p>
    <w:p w:rsidR="00D41E2A" w:rsidRPr="00E01039" w:rsidRDefault="00D41E2A" w:rsidP="006A68A4">
      <w:pPr>
        <w:spacing w:line="264" w:lineRule="auto"/>
        <w:contextualSpacing/>
        <w:jc w:val="both"/>
        <w:rPr>
          <w:rFonts w:asciiTheme="majorHAnsi" w:hAnsiTheme="majorHAnsi"/>
          <w:sz w:val="24"/>
          <w:szCs w:val="24"/>
        </w:rPr>
      </w:pPr>
    </w:p>
    <w:p w:rsidR="006A68A4" w:rsidRPr="00E01039" w:rsidRDefault="006A68A4" w:rsidP="006A68A4">
      <w:pPr>
        <w:spacing w:line="264" w:lineRule="auto"/>
        <w:contextualSpacing/>
        <w:jc w:val="both"/>
        <w:rPr>
          <w:rFonts w:asciiTheme="majorHAnsi" w:hAnsiTheme="majorHAnsi"/>
          <w:sz w:val="24"/>
          <w:szCs w:val="24"/>
        </w:rPr>
      </w:pPr>
      <w:r w:rsidRPr="00E01039">
        <w:rPr>
          <w:rFonts w:asciiTheme="majorHAnsi" w:hAnsiTheme="majorHAnsi"/>
          <w:sz w:val="24"/>
          <w:szCs w:val="24"/>
        </w:rPr>
        <w:lastRenderedPageBreak/>
        <w:t>The HLEG report makes the following recommendation on regulation as an important component of moving towards Universal Health Care.</w:t>
      </w:r>
    </w:p>
    <w:p w:rsidR="006A68A4" w:rsidRDefault="006A68A4" w:rsidP="006A68A4">
      <w:pPr>
        <w:pStyle w:val="ListParagraph"/>
        <w:numPr>
          <w:ilvl w:val="0"/>
          <w:numId w:val="18"/>
        </w:numPr>
        <w:spacing w:after="0" w:line="264" w:lineRule="auto"/>
        <w:jc w:val="both"/>
        <w:rPr>
          <w:rFonts w:asciiTheme="majorHAnsi" w:hAnsiTheme="majorHAnsi" w:cs="Cambria"/>
          <w:sz w:val="24"/>
          <w:szCs w:val="24"/>
        </w:rPr>
      </w:pPr>
      <w:r w:rsidRPr="00E01039">
        <w:rPr>
          <w:rFonts w:asciiTheme="majorHAnsi" w:hAnsiTheme="majorHAnsi"/>
          <w:sz w:val="24"/>
          <w:szCs w:val="24"/>
        </w:rPr>
        <w:t>Creation of a National Health Regulatory and Development Authority to regulate both public and private health care providers. The powers of these would include overseeing contracts, accrediting healthcare providers, develop ethical standards for care delivery, enforce patient’s charter of rights, formulation of Legal and Regulatory norms and standard treatment guidelines and management protocols for the National Health Package so as to control entry, quality, quantity, and price. The National Authority will be linked to similar state level institutions and an ombudsman at the district level to handle grievance redressal.</w:t>
      </w:r>
      <w:r w:rsidRPr="00E01039">
        <w:rPr>
          <w:rFonts w:asciiTheme="majorHAnsi" w:hAnsiTheme="majorHAnsi" w:cs="Cambria"/>
          <w:sz w:val="24"/>
          <w:szCs w:val="24"/>
        </w:rPr>
        <w:t xml:space="preserve"> Such an arrangement is expected to both improve the quality of care and control its costs. </w:t>
      </w:r>
    </w:p>
    <w:p w:rsidR="00D41E2A" w:rsidRPr="00E01039" w:rsidRDefault="00D41E2A" w:rsidP="00D41E2A">
      <w:pPr>
        <w:pStyle w:val="ListParagraph"/>
        <w:spacing w:after="0" w:line="264" w:lineRule="auto"/>
        <w:jc w:val="both"/>
        <w:rPr>
          <w:rFonts w:asciiTheme="majorHAnsi" w:hAnsiTheme="majorHAnsi" w:cs="Cambria"/>
          <w:sz w:val="24"/>
          <w:szCs w:val="24"/>
        </w:rPr>
      </w:pPr>
    </w:p>
    <w:p w:rsidR="006A68A4" w:rsidRPr="00E01039" w:rsidRDefault="006A68A4" w:rsidP="006A68A4">
      <w:pPr>
        <w:pStyle w:val="ListParagraph"/>
        <w:numPr>
          <w:ilvl w:val="0"/>
          <w:numId w:val="18"/>
        </w:numPr>
        <w:spacing w:after="0" w:line="264" w:lineRule="auto"/>
        <w:jc w:val="both"/>
        <w:rPr>
          <w:rFonts w:asciiTheme="majorHAnsi" w:hAnsiTheme="majorHAnsi" w:cs="Cambria"/>
          <w:sz w:val="24"/>
          <w:szCs w:val="24"/>
        </w:rPr>
      </w:pPr>
      <w:r w:rsidRPr="00E01039">
        <w:rPr>
          <w:rFonts w:asciiTheme="majorHAnsi" w:hAnsiTheme="majorHAnsi" w:cs="Cambria"/>
          <w:sz w:val="24"/>
          <w:szCs w:val="24"/>
        </w:rPr>
        <w:t xml:space="preserve">This NHRDA would have three units under it- </w:t>
      </w:r>
    </w:p>
    <w:p w:rsidR="006A68A4" w:rsidRPr="00E01039" w:rsidRDefault="006A68A4" w:rsidP="006A68A4">
      <w:pPr>
        <w:pStyle w:val="ListParagraph"/>
        <w:numPr>
          <w:ilvl w:val="1"/>
          <w:numId w:val="18"/>
        </w:numPr>
        <w:spacing w:after="0" w:line="264" w:lineRule="auto"/>
        <w:jc w:val="both"/>
        <w:rPr>
          <w:rFonts w:asciiTheme="majorHAnsi" w:hAnsiTheme="majorHAnsi" w:cs="Times New Roman"/>
          <w:sz w:val="24"/>
          <w:szCs w:val="24"/>
        </w:rPr>
      </w:pPr>
      <w:r w:rsidRPr="00E01039">
        <w:rPr>
          <w:rFonts w:asciiTheme="majorHAnsi" w:hAnsiTheme="majorHAnsi" w:cs="Times New Roman"/>
          <w:sz w:val="24"/>
          <w:szCs w:val="24"/>
        </w:rPr>
        <w:t xml:space="preserve">A system support unit for developing standard treatment guidelines, management protocols, and quality assurance methods , legal, financial and regulatory norms, and management information System. </w:t>
      </w:r>
    </w:p>
    <w:p w:rsidR="006A68A4" w:rsidRPr="00E01039" w:rsidRDefault="006A68A4" w:rsidP="006A68A4">
      <w:pPr>
        <w:pStyle w:val="ListParagraph"/>
        <w:numPr>
          <w:ilvl w:val="1"/>
          <w:numId w:val="18"/>
        </w:numPr>
        <w:spacing w:after="0" w:line="264" w:lineRule="auto"/>
        <w:jc w:val="both"/>
        <w:rPr>
          <w:rFonts w:asciiTheme="majorHAnsi" w:hAnsiTheme="majorHAnsi" w:cs="Times New Roman"/>
          <w:sz w:val="24"/>
          <w:szCs w:val="24"/>
        </w:rPr>
      </w:pPr>
      <w:r w:rsidRPr="00E01039">
        <w:rPr>
          <w:rFonts w:asciiTheme="majorHAnsi" w:hAnsiTheme="majorHAnsi" w:cs="Times New Roman"/>
          <w:sz w:val="24"/>
          <w:szCs w:val="24"/>
        </w:rPr>
        <w:t xml:space="preserve">A national and state health and medical facilities unit for accreditation of all allopathic and AYUSH healthcare providers in both public and private sectors as well as for all health and medical facilities., which will define standards for health care facilities and provide management support for achieving it. </w:t>
      </w:r>
    </w:p>
    <w:p w:rsidR="006A68A4" w:rsidRPr="00E01039" w:rsidRDefault="006A68A4" w:rsidP="006A68A4">
      <w:pPr>
        <w:pStyle w:val="ListParagraph"/>
        <w:widowControl w:val="0"/>
        <w:numPr>
          <w:ilvl w:val="1"/>
          <w:numId w:val="18"/>
        </w:numPr>
        <w:autoSpaceDE w:val="0"/>
        <w:autoSpaceDN w:val="0"/>
        <w:adjustRightInd w:val="0"/>
        <w:spacing w:after="240" w:line="264" w:lineRule="auto"/>
        <w:jc w:val="both"/>
        <w:rPr>
          <w:rFonts w:asciiTheme="majorHAnsi" w:hAnsiTheme="majorHAnsi" w:cs="Times New Roman"/>
          <w:sz w:val="24"/>
          <w:szCs w:val="24"/>
        </w:rPr>
      </w:pPr>
      <w:r w:rsidRPr="00E01039">
        <w:rPr>
          <w:rFonts w:asciiTheme="majorHAnsi" w:hAnsiTheme="majorHAnsi" w:cs="Times New Roman"/>
          <w:sz w:val="24"/>
          <w:szCs w:val="24"/>
        </w:rPr>
        <w:t>A monitoring and evaluation unit should be responsible for independently evaluating the performance of both public and private health services at all levels – after establishing systems to get real time data for performance monitoring of inputs, outputs and outcomes.</w:t>
      </w:r>
    </w:p>
    <w:p w:rsidR="006A68A4" w:rsidRPr="00D41E2A" w:rsidRDefault="006A68A4" w:rsidP="006A68A4">
      <w:pPr>
        <w:spacing w:line="264" w:lineRule="auto"/>
        <w:contextualSpacing/>
        <w:jc w:val="both"/>
        <w:rPr>
          <w:rFonts w:asciiTheme="majorHAnsi" w:hAnsiTheme="majorHAnsi"/>
          <w:b/>
          <w:sz w:val="24"/>
          <w:szCs w:val="24"/>
        </w:rPr>
      </w:pPr>
      <w:r w:rsidRPr="00D41E2A">
        <w:rPr>
          <w:rFonts w:asciiTheme="majorHAnsi" w:hAnsiTheme="majorHAnsi"/>
          <w:b/>
          <w:sz w:val="24"/>
          <w:szCs w:val="24"/>
        </w:rPr>
        <w:t>Quality Assurance and A</w:t>
      </w:r>
      <w:r w:rsidR="00D41E2A" w:rsidRPr="00D41E2A">
        <w:rPr>
          <w:rFonts w:asciiTheme="majorHAnsi" w:hAnsiTheme="majorHAnsi"/>
          <w:b/>
          <w:sz w:val="24"/>
          <w:szCs w:val="24"/>
        </w:rPr>
        <w:t>ccreditation: Current Situation</w:t>
      </w:r>
    </w:p>
    <w:p w:rsidR="006A68A4" w:rsidRDefault="006A68A4" w:rsidP="006A68A4">
      <w:pPr>
        <w:spacing w:line="264" w:lineRule="auto"/>
        <w:contextualSpacing/>
        <w:jc w:val="both"/>
        <w:rPr>
          <w:rFonts w:asciiTheme="majorHAnsi" w:hAnsiTheme="majorHAnsi"/>
          <w:sz w:val="24"/>
          <w:szCs w:val="24"/>
        </w:rPr>
      </w:pPr>
      <w:r w:rsidRPr="00E01039">
        <w:rPr>
          <w:rFonts w:asciiTheme="majorHAnsi" w:hAnsiTheme="majorHAnsi"/>
          <w:sz w:val="24"/>
          <w:szCs w:val="24"/>
        </w:rPr>
        <w:t xml:space="preserve">Though there are many aspects of regulation in the health sector- the immediate concern that the terms of reference of the working group, and the HLEG report before it address are related to quality assurance in health care facilities. </w:t>
      </w:r>
    </w:p>
    <w:p w:rsidR="00D41E2A" w:rsidRPr="00E01039" w:rsidRDefault="00D41E2A" w:rsidP="006A68A4">
      <w:pPr>
        <w:spacing w:line="264" w:lineRule="auto"/>
        <w:contextualSpacing/>
        <w:jc w:val="both"/>
        <w:rPr>
          <w:rFonts w:asciiTheme="majorHAnsi" w:hAnsiTheme="majorHAnsi"/>
          <w:sz w:val="24"/>
          <w:szCs w:val="24"/>
        </w:rPr>
      </w:pPr>
    </w:p>
    <w:p w:rsidR="006A68A4" w:rsidRDefault="006A68A4" w:rsidP="006A68A4">
      <w:pPr>
        <w:spacing w:line="264" w:lineRule="auto"/>
        <w:contextualSpacing/>
        <w:jc w:val="both"/>
        <w:rPr>
          <w:rFonts w:asciiTheme="majorHAnsi" w:hAnsiTheme="majorHAnsi"/>
          <w:sz w:val="24"/>
          <w:szCs w:val="24"/>
        </w:rPr>
      </w:pPr>
      <w:r w:rsidRPr="00E01039">
        <w:rPr>
          <w:rFonts w:asciiTheme="majorHAnsi" w:hAnsiTheme="majorHAnsi"/>
          <w:sz w:val="24"/>
          <w:szCs w:val="24"/>
        </w:rPr>
        <w:t xml:space="preserve">It should be noted that the private sector is already extensively using a quality accreditation system and further that a large number of public healthcare facilities have also been experimenting with the same. </w:t>
      </w:r>
    </w:p>
    <w:p w:rsidR="00D41E2A" w:rsidRPr="00E01039" w:rsidRDefault="00D41E2A" w:rsidP="006A68A4">
      <w:pPr>
        <w:spacing w:line="264" w:lineRule="auto"/>
        <w:contextualSpacing/>
        <w:jc w:val="both"/>
        <w:rPr>
          <w:rFonts w:asciiTheme="majorHAnsi" w:hAnsiTheme="majorHAnsi"/>
          <w:sz w:val="24"/>
          <w:szCs w:val="24"/>
        </w:rPr>
      </w:pPr>
    </w:p>
    <w:p w:rsidR="006A68A4" w:rsidRDefault="006A68A4" w:rsidP="006A68A4">
      <w:pPr>
        <w:spacing w:line="264" w:lineRule="auto"/>
        <w:contextualSpacing/>
        <w:jc w:val="both"/>
        <w:rPr>
          <w:rFonts w:asciiTheme="majorHAnsi" w:hAnsiTheme="majorHAnsi"/>
          <w:sz w:val="24"/>
          <w:szCs w:val="24"/>
        </w:rPr>
      </w:pPr>
      <w:r w:rsidRPr="00E01039">
        <w:rPr>
          <w:rFonts w:asciiTheme="majorHAnsi" w:hAnsiTheme="majorHAnsi"/>
          <w:sz w:val="24"/>
          <w:szCs w:val="24"/>
        </w:rPr>
        <w:t xml:space="preserve">The two main bodies are the Bureau of Indian Standards and the Quality Council of India (QCI). Both have issued hospital standards. The former has however certified only about 20 hospitals- and the latter has emerged as the main player. However BIS has the constitutional mandate for standard setting. </w:t>
      </w:r>
    </w:p>
    <w:p w:rsidR="00D41E2A" w:rsidRPr="00E01039" w:rsidRDefault="00D41E2A" w:rsidP="006A68A4">
      <w:pPr>
        <w:spacing w:line="264" w:lineRule="auto"/>
        <w:contextualSpacing/>
        <w:jc w:val="both"/>
        <w:rPr>
          <w:rFonts w:asciiTheme="majorHAnsi" w:hAnsiTheme="majorHAnsi"/>
          <w:sz w:val="24"/>
          <w:szCs w:val="24"/>
        </w:rPr>
      </w:pPr>
    </w:p>
    <w:p w:rsidR="006A68A4" w:rsidRDefault="006A68A4" w:rsidP="006A68A4">
      <w:pPr>
        <w:spacing w:line="264" w:lineRule="auto"/>
        <w:contextualSpacing/>
        <w:jc w:val="both"/>
        <w:rPr>
          <w:rFonts w:asciiTheme="majorHAnsi" w:hAnsiTheme="majorHAnsi"/>
          <w:sz w:val="24"/>
          <w:szCs w:val="24"/>
        </w:rPr>
      </w:pPr>
      <w:r w:rsidRPr="00E01039">
        <w:rPr>
          <w:rFonts w:asciiTheme="majorHAnsi" w:hAnsiTheme="majorHAnsi"/>
          <w:sz w:val="24"/>
          <w:szCs w:val="24"/>
        </w:rPr>
        <w:t>The QCI has been set up as a national accreditation body. It has a National Accreditation Board for Certification Bodies (NABCB) - which in turn accredits 3</w:t>
      </w:r>
      <w:r w:rsidRPr="00E01039">
        <w:rPr>
          <w:rFonts w:asciiTheme="majorHAnsi" w:hAnsiTheme="majorHAnsi"/>
          <w:sz w:val="24"/>
          <w:szCs w:val="24"/>
          <w:vertAlign w:val="superscript"/>
        </w:rPr>
        <w:t>rd</w:t>
      </w:r>
      <w:r w:rsidRPr="00E01039">
        <w:rPr>
          <w:rFonts w:asciiTheme="majorHAnsi" w:hAnsiTheme="majorHAnsi"/>
          <w:sz w:val="24"/>
          <w:szCs w:val="24"/>
        </w:rPr>
        <w:t xml:space="preserve"> party inspection </w:t>
      </w:r>
      <w:r w:rsidRPr="00E01039">
        <w:rPr>
          <w:rFonts w:asciiTheme="majorHAnsi" w:hAnsiTheme="majorHAnsi"/>
          <w:sz w:val="24"/>
          <w:szCs w:val="24"/>
        </w:rPr>
        <w:lastRenderedPageBreak/>
        <w:t xml:space="preserve">bodies as per ISO 17020. It also has a division exclusively for the health sector- the National Board for Accreditation of Hospitals and Health Care Providers (NABH). </w:t>
      </w:r>
    </w:p>
    <w:p w:rsidR="00D41E2A" w:rsidRPr="00E01039" w:rsidRDefault="00D41E2A" w:rsidP="006A68A4">
      <w:pPr>
        <w:spacing w:line="264" w:lineRule="auto"/>
        <w:contextualSpacing/>
        <w:jc w:val="both"/>
        <w:rPr>
          <w:rFonts w:asciiTheme="majorHAnsi" w:hAnsiTheme="majorHAnsi"/>
          <w:sz w:val="24"/>
          <w:szCs w:val="24"/>
        </w:rPr>
      </w:pPr>
    </w:p>
    <w:p w:rsidR="006A68A4" w:rsidRDefault="006A68A4" w:rsidP="006A68A4">
      <w:pPr>
        <w:spacing w:line="264" w:lineRule="auto"/>
        <w:contextualSpacing/>
        <w:jc w:val="both"/>
        <w:rPr>
          <w:rFonts w:asciiTheme="majorHAnsi" w:hAnsiTheme="majorHAnsi"/>
          <w:sz w:val="24"/>
          <w:szCs w:val="24"/>
        </w:rPr>
      </w:pPr>
      <w:r w:rsidRPr="00E01039">
        <w:rPr>
          <w:rFonts w:asciiTheme="majorHAnsi" w:hAnsiTheme="majorHAnsi"/>
          <w:sz w:val="24"/>
          <w:szCs w:val="24"/>
        </w:rPr>
        <w:t xml:space="preserve">Private hospitals opt for quality assurance programmes to improve their market credibility and to qualify for insurance empanelment. Accreditation- as different from licensing- is a voluntary programme- and the hospitals opt for accreditation options based on considerations of cost, feasibility and the custom they hope to attract and their own professional perception of the approach they would like to follow. The main options are – a) NABH b) JCI c) 5S approach, d) ISO- modified approaches d) Six Sigma, e) Lean Hospitals. There are also supplementary standards like green hospitals, occupation safety, NABL (for laboratories) etc. </w:t>
      </w:r>
    </w:p>
    <w:p w:rsidR="00D41E2A" w:rsidRPr="00E01039" w:rsidRDefault="00D41E2A" w:rsidP="006A68A4">
      <w:pPr>
        <w:spacing w:line="264" w:lineRule="auto"/>
        <w:contextualSpacing/>
        <w:jc w:val="both"/>
        <w:rPr>
          <w:rFonts w:asciiTheme="majorHAnsi" w:hAnsiTheme="majorHAnsi"/>
          <w:sz w:val="24"/>
          <w:szCs w:val="24"/>
        </w:rPr>
      </w:pPr>
    </w:p>
    <w:p w:rsidR="006A68A4" w:rsidRDefault="006A68A4" w:rsidP="006A68A4">
      <w:pPr>
        <w:spacing w:line="264" w:lineRule="auto"/>
        <w:contextualSpacing/>
        <w:jc w:val="both"/>
        <w:rPr>
          <w:rFonts w:asciiTheme="majorHAnsi" w:hAnsiTheme="majorHAnsi"/>
          <w:sz w:val="24"/>
          <w:szCs w:val="24"/>
        </w:rPr>
      </w:pPr>
      <w:r w:rsidRPr="00E01039">
        <w:rPr>
          <w:rFonts w:asciiTheme="majorHAnsi" w:hAnsiTheme="majorHAnsi"/>
          <w:sz w:val="24"/>
          <w:szCs w:val="24"/>
        </w:rPr>
        <w:t>In most of these systems the term “standard” is used to represent an area of concern- where the processes need to be on line with what is required for a quality product. Thus – “S</w:t>
      </w:r>
      <w:r w:rsidR="00D41E2A">
        <w:rPr>
          <w:rFonts w:asciiTheme="majorHAnsi" w:hAnsiTheme="majorHAnsi"/>
          <w:sz w:val="24"/>
          <w:szCs w:val="24"/>
        </w:rPr>
        <w:t>tandard FMS 6 of NABH states: “</w:t>
      </w:r>
      <w:r w:rsidRPr="00E01039">
        <w:rPr>
          <w:rFonts w:asciiTheme="majorHAnsi" w:hAnsiTheme="majorHAnsi"/>
          <w:sz w:val="24"/>
          <w:szCs w:val="24"/>
        </w:rPr>
        <w:t>the organization has plans for fire and non-fire emergencies within the facilities</w:t>
      </w:r>
      <w:r w:rsidR="00B60A4B" w:rsidRPr="00E01039">
        <w:rPr>
          <w:rFonts w:asciiTheme="majorHAnsi" w:hAnsiTheme="majorHAnsi"/>
          <w:sz w:val="24"/>
          <w:szCs w:val="24"/>
        </w:rPr>
        <w:t>.”</w:t>
      </w:r>
      <w:r w:rsidRPr="00E01039">
        <w:rPr>
          <w:rFonts w:asciiTheme="majorHAnsi" w:hAnsiTheme="majorHAnsi"/>
          <w:sz w:val="24"/>
          <w:szCs w:val="24"/>
        </w:rPr>
        <w:t xml:space="preserve">  This is a standard. This in turn is made up of many measurable elements which are also specified. In the above example there are five objective elements m</w:t>
      </w:r>
      <w:r w:rsidR="00B60A4B">
        <w:rPr>
          <w:rFonts w:asciiTheme="majorHAnsi" w:hAnsiTheme="majorHAnsi"/>
          <w:sz w:val="24"/>
          <w:szCs w:val="24"/>
        </w:rPr>
        <w:t>entioned by NABH. These are – 1) t</w:t>
      </w:r>
      <w:r w:rsidRPr="00E01039">
        <w:rPr>
          <w:rFonts w:asciiTheme="majorHAnsi" w:hAnsiTheme="majorHAnsi"/>
          <w:sz w:val="24"/>
          <w:szCs w:val="24"/>
        </w:rPr>
        <w:t>hat there are plans and provisions for early detection, abatement and containment of fi</w:t>
      </w:r>
      <w:r w:rsidR="00B60A4B">
        <w:rPr>
          <w:rFonts w:asciiTheme="majorHAnsi" w:hAnsiTheme="majorHAnsi"/>
          <w:sz w:val="24"/>
          <w:szCs w:val="24"/>
        </w:rPr>
        <w:t>re and non-fire emergencies; 2) t</w:t>
      </w:r>
      <w:r w:rsidRPr="00E01039">
        <w:rPr>
          <w:rFonts w:asciiTheme="majorHAnsi" w:hAnsiTheme="majorHAnsi"/>
          <w:sz w:val="24"/>
          <w:szCs w:val="24"/>
        </w:rPr>
        <w:t>here is a documented safe-exit plan in case o</w:t>
      </w:r>
      <w:r w:rsidR="00B60A4B">
        <w:rPr>
          <w:rFonts w:asciiTheme="majorHAnsi" w:hAnsiTheme="majorHAnsi"/>
          <w:sz w:val="24"/>
          <w:szCs w:val="24"/>
        </w:rPr>
        <w:t>f fire and non-fire emergencies; 3) s</w:t>
      </w:r>
      <w:r w:rsidRPr="00E01039">
        <w:rPr>
          <w:rFonts w:asciiTheme="majorHAnsi" w:hAnsiTheme="majorHAnsi"/>
          <w:sz w:val="24"/>
          <w:szCs w:val="24"/>
        </w:rPr>
        <w:t>taff is trained for a r</w:t>
      </w:r>
      <w:r w:rsidR="00B60A4B">
        <w:rPr>
          <w:rFonts w:asciiTheme="majorHAnsi" w:hAnsiTheme="majorHAnsi"/>
          <w:sz w:val="24"/>
          <w:szCs w:val="24"/>
        </w:rPr>
        <w:t>ole in case of such emergencies 4) m</w:t>
      </w:r>
      <w:r w:rsidRPr="00E01039">
        <w:rPr>
          <w:rFonts w:asciiTheme="majorHAnsi" w:hAnsiTheme="majorHAnsi"/>
          <w:sz w:val="24"/>
          <w:szCs w:val="24"/>
        </w:rPr>
        <w:t>ock drills are h</w:t>
      </w:r>
      <w:r w:rsidR="00B60A4B">
        <w:rPr>
          <w:rFonts w:asciiTheme="majorHAnsi" w:hAnsiTheme="majorHAnsi"/>
          <w:sz w:val="24"/>
          <w:szCs w:val="24"/>
        </w:rPr>
        <w:t>eld at least twice a year and 5) t</w:t>
      </w:r>
      <w:r w:rsidRPr="00E01039">
        <w:rPr>
          <w:rFonts w:asciiTheme="majorHAnsi" w:hAnsiTheme="majorHAnsi"/>
          <w:sz w:val="24"/>
          <w:szCs w:val="24"/>
        </w:rPr>
        <w:t>here is a maintenance plan for fire-related equipment.</w:t>
      </w:r>
    </w:p>
    <w:p w:rsidR="00D41E2A" w:rsidRPr="00E01039" w:rsidRDefault="00D41E2A" w:rsidP="006A68A4">
      <w:pPr>
        <w:spacing w:line="264" w:lineRule="auto"/>
        <w:contextualSpacing/>
        <w:jc w:val="both"/>
        <w:rPr>
          <w:rFonts w:asciiTheme="majorHAnsi" w:hAnsiTheme="majorHAnsi"/>
          <w:sz w:val="24"/>
          <w:szCs w:val="24"/>
        </w:rPr>
      </w:pPr>
    </w:p>
    <w:p w:rsidR="006A68A4" w:rsidRDefault="006A68A4" w:rsidP="006A68A4">
      <w:pPr>
        <w:spacing w:line="264" w:lineRule="auto"/>
        <w:contextualSpacing/>
        <w:jc w:val="both"/>
        <w:rPr>
          <w:rFonts w:asciiTheme="majorHAnsi" w:hAnsiTheme="majorHAnsi"/>
          <w:sz w:val="24"/>
          <w:szCs w:val="24"/>
        </w:rPr>
      </w:pPr>
      <w:r w:rsidRPr="00E01039">
        <w:rPr>
          <w:rFonts w:asciiTheme="majorHAnsi" w:hAnsiTheme="majorHAnsi"/>
          <w:sz w:val="24"/>
          <w:szCs w:val="24"/>
        </w:rPr>
        <w:t xml:space="preserve">Further under each objective element there is a check list that specifies what </w:t>
      </w:r>
      <w:r w:rsidR="00957771" w:rsidRPr="00E01039">
        <w:rPr>
          <w:rFonts w:asciiTheme="majorHAnsi" w:hAnsiTheme="majorHAnsi"/>
          <w:sz w:val="24"/>
          <w:szCs w:val="24"/>
        </w:rPr>
        <w:t>an adequate plan is</w:t>
      </w:r>
      <w:r w:rsidRPr="00E01039">
        <w:rPr>
          <w:rFonts w:asciiTheme="majorHAnsi" w:hAnsiTheme="majorHAnsi"/>
          <w:sz w:val="24"/>
          <w:szCs w:val="24"/>
        </w:rPr>
        <w:t xml:space="preserve">. Most often such a check-list is not explicit- allowing for considerable variation according to the assessors. However all systems of such quality management would ensure- a) that there is a policy in place for each of the above five elements of fire safety and b) there is  documented procedure that covers all these five elements and c) that these procedures as stated are all implemented. </w:t>
      </w:r>
    </w:p>
    <w:p w:rsidR="00D41E2A" w:rsidRPr="00E01039" w:rsidRDefault="00D41E2A" w:rsidP="006A68A4">
      <w:pPr>
        <w:spacing w:line="264" w:lineRule="auto"/>
        <w:contextualSpacing/>
        <w:jc w:val="both"/>
        <w:rPr>
          <w:rFonts w:asciiTheme="majorHAnsi" w:hAnsiTheme="majorHAnsi"/>
          <w:sz w:val="24"/>
          <w:szCs w:val="24"/>
        </w:rPr>
      </w:pPr>
    </w:p>
    <w:p w:rsidR="006A68A4" w:rsidRDefault="006A68A4" w:rsidP="006A68A4">
      <w:pPr>
        <w:spacing w:line="264" w:lineRule="auto"/>
        <w:contextualSpacing/>
        <w:jc w:val="both"/>
        <w:rPr>
          <w:rFonts w:asciiTheme="majorHAnsi" w:hAnsiTheme="majorHAnsi"/>
          <w:sz w:val="24"/>
          <w:szCs w:val="24"/>
        </w:rPr>
      </w:pPr>
      <w:r w:rsidRPr="00E01039">
        <w:rPr>
          <w:rFonts w:asciiTheme="majorHAnsi" w:hAnsiTheme="majorHAnsi"/>
          <w:sz w:val="24"/>
          <w:szCs w:val="24"/>
        </w:rPr>
        <w:t xml:space="preserve">In clinical care- the standard would be broad- for example NABH standard COP 11 states- that “ documented policies and procedures guide pediatric services “. There are 8 distinct measurable elements under these which are published as part of the standards and each of these is further disaggregated into check-lists, which are not published and leave considerable room for interpretation by </w:t>
      </w:r>
      <w:r w:rsidR="00957771" w:rsidRPr="00E01039">
        <w:rPr>
          <w:rFonts w:asciiTheme="majorHAnsi" w:hAnsiTheme="majorHAnsi"/>
          <w:sz w:val="24"/>
          <w:szCs w:val="24"/>
        </w:rPr>
        <w:t>assessors</w:t>
      </w:r>
      <w:r w:rsidRPr="00E01039">
        <w:rPr>
          <w:rFonts w:asciiTheme="majorHAnsi" w:hAnsiTheme="majorHAnsi"/>
          <w:sz w:val="24"/>
          <w:szCs w:val="24"/>
        </w:rPr>
        <w:t>. Whether specific standard treatment protocols are followed is part of this third hierarchical level in the QA process. (First level: standards; second level: measurable elements or criteria and third level- check-lists with benchmarks. We note that terminology changes between different systems- but the principle of a three or four level hierarchy is the same).</w:t>
      </w:r>
    </w:p>
    <w:p w:rsidR="00E06E7E" w:rsidRPr="00E01039" w:rsidRDefault="00E06E7E" w:rsidP="006A68A4">
      <w:pPr>
        <w:spacing w:line="264" w:lineRule="auto"/>
        <w:contextualSpacing/>
        <w:jc w:val="both"/>
        <w:rPr>
          <w:rFonts w:asciiTheme="majorHAnsi" w:hAnsiTheme="majorHAnsi"/>
          <w:sz w:val="24"/>
          <w:szCs w:val="24"/>
        </w:rPr>
      </w:pPr>
    </w:p>
    <w:p w:rsidR="006A68A4" w:rsidRPr="00E01039" w:rsidRDefault="006A68A4" w:rsidP="006A68A4">
      <w:pPr>
        <w:spacing w:line="264" w:lineRule="auto"/>
        <w:contextualSpacing/>
        <w:jc w:val="both"/>
        <w:rPr>
          <w:rFonts w:asciiTheme="majorHAnsi" w:hAnsiTheme="majorHAnsi"/>
          <w:sz w:val="24"/>
          <w:szCs w:val="24"/>
        </w:rPr>
      </w:pPr>
      <w:r w:rsidRPr="00E01039">
        <w:rPr>
          <w:rFonts w:asciiTheme="majorHAnsi" w:hAnsiTheme="majorHAnsi"/>
          <w:sz w:val="24"/>
          <w:szCs w:val="24"/>
        </w:rPr>
        <w:t xml:space="preserve">In the public sector there have been three broad directions of progress:  </w:t>
      </w:r>
    </w:p>
    <w:p w:rsidR="006A68A4" w:rsidRPr="00E01039" w:rsidRDefault="00E06E7E" w:rsidP="006A68A4">
      <w:pPr>
        <w:pStyle w:val="ListParagraph"/>
        <w:numPr>
          <w:ilvl w:val="0"/>
          <w:numId w:val="21"/>
        </w:numPr>
        <w:spacing w:after="0" w:line="264" w:lineRule="auto"/>
        <w:jc w:val="both"/>
        <w:rPr>
          <w:rFonts w:asciiTheme="majorHAnsi" w:hAnsiTheme="majorHAnsi"/>
          <w:sz w:val="24"/>
          <w:szCs w:val="24"/>
        </w:rPr>
      </w:pPr>
      <w:r>
        <w:rPr>
          <w:rFonts w:asciiTheme="majorHAnsi" w:hAnsiTheme="majorHAnsi"/>
          <w:sz w:val="24"/>
          <w:szCs w:val="24"/>
        </w:rPr>
        <w:lastRenderedPageBreak/>
        <w:t>T</w:t>
      </w:r>
      <w:r w:rsidR="006A68A4" w:rsidRPr="00E01039">
        <w:rPr>
          <w:rFonts w:asciiTheme="majorHAnsi" w:hAnsiTheme="majorHAnsi"/>
          <w:sz w:val="24"/>
          <w:szCs w:val="24"/>
        </w:rPr>
        <w:t xml:space="preserve">o declare and implement Indian public health standards. The meaning of standards in this document is to specify ideal norms for the inputs- for infrastructure, for human resources, for equipment, for drugs and supplies- and for the outputs in terms of services to be delivered. It does not deal with processes. </w:t>
      </w:r>
    </w:p>
    <w:p w:rsidR="006A68A4" w:rsidRPr="00E01039" w:rsidRDefault="006A68A4" w:rsidP="006A68A4">
      <w:pPr>
        <w:pStyle w:val="ListParagraph"/>
        <w:numPr>
          <w:ilvl w:val="0"/>
          <w:numId w:val="21"/>
        </w:numPr>
        <w:spacing w:after="0" w:line="264" w:lineRule="auto"/>
        <w:jc w:val="both"/>
        <w:rPr>
          <w:rFonts w:asciiTheme="majorHAnsi" w:hAnsiTheme="majorHAnsi"/>
          <w:sz w:val="24"/>
          <w:szCs w:val="24"/>
        </w:rPr>
      </w:pPr>
      <w:r w:rsidRPr="00E01039">
        <w:rPr>
          <w:rFonts w:asciiTheme="majorHAnsi" w:hAnsiTheme="majorHAnsi"/>
          <w:sz w:val="24"/>
          <w:szCs w:val="24"/>
        </w:rPr>
        <w:t>Build quality assurance committees that monitor the care progress on quality which has two dimensions- a) achieving IPHS b) ensuring adherence to quality protocols largely as related to RCH services. One more intensive variant of this is the family friendly hospital initiative- which uses intensive supportive supervision as its main tool</w:t>
      </w:r>
    </w:p>
    <w:p w:rsidR="006A68A4" w:rsidRPr="00E01039" w:rsidRDefault="006A68A4" w:rsidP="006A68A4">
      <w:pPr>
        <w:pStyle w:val="ListParagraph"/>
        <w:numPr>
          <w:ilvl w:val="0"/>
          <w:numId w:val="21"/>
        </w:numPr>
        <w:spacing w:after="0" w:line="264" w:lineRule="auto"/>
        <w:jc w:val="both"/>
        <w:rPr>
          <w:rFonts w:asciiTheme="majorHAnsi" w:hAnsiTheme="majorHAnsi"/>
          <w:sz w:val="24"/>
          <w:szCs w:val="24"/>
        </w:rPr>
      </w:pPr>
      <w:r w:rsidRPr="00E01039">
        <w:rPr>
          <w:rFonts w:asciiTheme="majorHAnsi" w:hAnsiTheme="majorHAnsi"/>
          <w:sz w:val="24"/>
          <w:szCs w:val="24"/>
        </w:rPr>
        <w:t xml:space="preserve">Pilot programme in using NABH certification and using a modified ISO approach. </w:t>
      </w:r>
    </w:p>
    <w:p w:rsidR="006A68A4" w:rsidRPr="00E01039" w:rsidRDefault="006A68A4" w:rsidP="006A68A4">
      <w:pPr>
        <w:spacing w:line="264" w:lineRule="auto"/>
        <w:contextualSpacing/>
        <w:jc w:val="both"/>
        <w:rPr>
          <w:rFonts w:asciiTheme="majorHAnsi" w:hAnsiTheme="majorHAnsi"/>
          <w:sz w:val="24"/>
          <w:szCs w:val="24"/>
        </w:rPr>
      </w:pPr>
    </w:p>
    <w:p w:rsidR="006A68A4" w:rsidRDefault="00EC07E1" w:rsidP="006A68A4">
      <w:pPr>
        <w:spacing w:line="264" w:lineRule="auto"/>
        <w:contextualSpacing/>
        <w:jc w:val="both"/>
        <w:rPr>
          <w:rFonts w:asciiTheme="majorHAnsi" w:hAnsiTheme="majorHAnsi"/>
          <w:sz w:val="24"/>
          <w:szCs w:val="24"/>
        </w:rPr>
      </w:pPr>
      <w:r>
        <w:rPr>
          <w:rFonts w:asciiTheme="majorHAnsi" w:hAnsiTheme="majorHAnsi"/>
          <w:sz w:val="24"/>
          <w:szCs w:val="24"/>
        </w:rPr>
        <w:t>S</w:t>
      </w:r>
      <w:r w:rsidR="006A68A4" w:rsidRPr="00E01039">
        <w:rPr>
          <w:rFonts w:asciiTheme="majorHAnsi" w:hAnsiTheme="majorHAnsi"/>
          <w:sz w:val="24"/>
          <w:szCs w:val="24"/>
        </w:rPr>
        <w:t>trengths and limitations f</w:t>
      </w:r>
      <w:r>
        <w:rPr>
          <w:rFonts w:asciiTheme="majorHAnsi" w:hAnsiTheme="majorHAnsi"/>
          <w:sz w:val="24"/>
          <w:szCs w:val="24"/>
        </w:rPr>
        <w:t xml:space="preserve">or each of the three approaches: </w:t>
      </w:r>
    </w:p>
    <w:p w:rsidR="00EC07E1" w:rsidRPr="00E01039" w:rsidRDefault="00EC07E1" w:rsidP="006A68A4">
      <w:pPr>
        <w:spacing w:line="264" w:lineRule="auto"/>
        <w:contextualSpacing/>
        <w:jc w:val="both"/>
        <w:rPr>
          <w:rFonts w:asciiTheme="majorHAnsi" w:hAnsiTheme="majorHAnsi"/>
          <w:sz w:val="24"/>
          <w:szCs w:val="24"/>
        </w:rPr>
      </w:pPr>
    </w:p>
    <w:p w:rsidR="006A68A4" w:rsidRDefault="006A68A4" w:rsidP="006A68A4">
      <w:pPr>
        <w:spacing w:line="264" w:lineRule="auto"/>
        <w:contextualSpacing/>
        <w:jc w:val="both"/>
        <w:rPr>
          <w:rFonts w:asciiTheme="majorHAnsi" w:hAnsiTheme="majorHAnsi"/>
          <w:sz w:val="24"/>
          <w:szCs w:val="24"/>
        </w:rPr>
      </w:pPr>
      <w:r w:rsidRPr="00E01039">
        <w:rPr>
          <w:rFonts w:asciiTheme="majorHAnsi" w:hAnsiTheme="majorHAnsi"/>
          <w:sz w:val="24"/>
          <w:szCs w:val="24"/>
        </w:rPr>
        <w:t xml:space="preserve">No facility has been declared as IPHS since a) there is no authority in place to do so, and b) there is no system of scoring or threshold levels measurement- and therefore out of a 1000 </w:t>
      </w:r>
      <w:r w:rsidRPr="006A68A4">
        <w:rPr>
          <w:rFonts w:asciiTheme="majorHAnsi" w:hAnsiTheme="majorHAnsi"/>
          <w:sz w:val="24"/>
          <w:szCs w:val="24"/>
        </w:rPr>
        <w:t>plus inputs- if even one does not match up, it would not qualify. Also one has no tools to measure progress towards achievement- its either all or none. Also, in such an all or none approach- there are no tools to achieve quality at a given level of inputs. Thus a CHC should have 19 nurses and 9 doctors- but even if it has only 9 nurses and 3 doctors- whether it is providing quality of care in terms of outcomes in terms of safety, comfort and satisfaction is still a relevant question.</w:t>
      </w:r>
    </w:p>
    <w:p w:rsidR="00EC07E1" w:rsidRPr="006A68A4" w:rsidRDefault="00EC07E1" w:rsidP="006A68A4">
      <w:pPr>
        <w:spacing w:line="264" w:lineRule="auto"/>
        <w:contextualSpacing/>
        <w:jc w:val="both"/>
        <w:rPr>
          <w:rFonts w:asciiTheme="majorHAnsi" w:hAnsiTheme="majorHAnsi"/>
          <w:sz w:val="24"/>
          <w:szCs w:val="24"/>
        </w:rPr>
      </w:pPr>
    </w:p>
    <w:p w:rsid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 xml:space="preserve">IPHS has however helped enormously in achieving NRHM goals- by providing physical and service delivery norms to direct investment. We are only stating that it is not a sufficient or complete approach to quality. </w:t>
      </w:r>
    </w:p>
    <w:p w:rsidR="00EC07E1" w:rsidRPr="006A68A4" w:rsidRDefault="00EC07E1" w:rsidP="006A68A4">
      <w:pPr>
        <w:spacing w:line="264" w:lineRule="auto"/>
        <w:contextualSpacing/>
        <w:jc w:val="both"/>
        <w:rPr>
          <w:rFonts w:asciiTheme="majorHAnsi" w:hAnsiTheme="majorHAnsi"/>
          <w:sz w:val="24"/>
          <w:szCs w:val="24"/>
        </w:rPr>
      </w:pPr>
    </w:p>
    <w:p w:rsid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The quality assurance committees are also very important areas of progress- However in practice it becomes more of a monitoring exercise and provides little mechanisms for quality improvement as is present in a quality management system.</w:t>
      </w:r>
    </w:p>
    <w:p w:rsidR="00957771" w:rsidRPr="006A68A4" w:rsidRDefault="00957771" w:rsidP="006A68A4">
      <w:pPr>
        <w:spacing w:line="264" w:lineRule="auto"/>
        <w:contextualSpacing/>
        <w:jc w:val="both"/>
        <w:rPr>
          <w:rFonts w:asciiTheme="majorHAnsi" w:hAnsiTheme="majorHAnsi"/>
          <w:sz w:val="24"/>
          <w:szCs w:val="24"/>
        </w:rPr>
      </w:pPr>
    </w:p>
    <w:p w:rsidR="006A68A4" w:rsidRDefault="006A68A4" w:rsidP="006A68A4">
      <w:pPr>
        <w:spacing w:line="264" w:lineRule="auto"/>
        <w:contextualSpacing/>
        <w:jc w:val="both"/>
        <w:rPr>
          <w:rFonts w:asciiTheme="majorHAnsi" w:hAnsiTheme="majorHAnsi"/>
          <w:b/>
          <w:sz w:val="24"/>
          <w:szCs w:val="24"/>
        </w:rPr>
      </w:pPr>
      <w:r w:rsidRPr="006A68A4">
        <w:rPr>
          <w:rFonts w:asciiTheme="majorHAnsi" w:hAnsiTheme="majorHAnsi"/>
          <w:sz w:val="24"/>
          <w:szCs w:val="24"/>
        </w:rPr>
        <w:t xml:space="preserve">The experience with the NABH has been a) that it is very input intensive: having been originally designed to facilitate medical tourism, the benchmarks for each standard are way too high. and b) that the specific criteria at the level of check lists( the benchmarks) are not known before hand and c) that the management support contract and the certification authority are one and the same. Accrediting agency and the implementing agency cannot and must not be the same- especially when the implementation support contract is so large. Also the </w:t>
      </w:r>
      <w:r w:rsidRPr="006A68A4">
        <w:rPr>
          <w:rFonts w:asciiTheme="majorHAnsi" w:hAnsiTheme="majorHAnsi"/>
          <w:b/>
          <w:sz w:val="24"/>
          <w:szCs w:val="24"/>
        </w:rPr>
        <w:t>NABH has not yet been modified to include public health dimensions of a public hospital providing free care.</w:t>
      </w:r>
    </w:p>
    <w:p w:rsidR="00EC07E1" w:rsidRPr="006A68A4" w:rsidRDefault="00EC07E1" w:rsidP="006A68A4">
      <w:pPr>
        <w:spacing w:line="264" w:lineRule="auto"/>
        <w:contextualSpacing/>
        <w:jc w:val="both"/>
        <w:rPr>
          <w:rFonts w:asciiTheme="majorHAnsi" w:hAnsiTheme="majorHAnsi"/>
          <w:sz w:val="24"/>
          <w:szCs w:val="24"/>
        </w:rPr>
      </w:pPr>
    </w:p>
    <w:p w:rsid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 xml:space="preserve">The experience with ISO is that the standards were too generic and flexible, and it needed a resource group to insist on some basic health care specific standards and some </w:t>
      </w:r>
      <w:r w:rsidRPr="006A68A4">
        <w:rPr>
          <w:rFonts w:asciiTheme="majorHAnsi" w:hAnsiTheme="majorHAnsi"/>
          <w:sz w:val="24"/>
          <w:szCs w:val="24"/>
        </w:rPr>
        <w:lastRenderedPageBreak/>
        <w:t xml:space="preserve">benchmarks. Also since it has no mandatory conditions on inputs- visible change is less- even if measured patient satisfaction is more. The Ministry of health has recently approved a quality of care framework for public health facilities which learns from all of these past experiences. </w:t>
      </w:r>
    </w:p>
    <w:p w:rsidR="00EC07E1" w:rsidRPr="006A68A4" w:rsidRDefault="00EC07E1" w:rsidP="006A68A4">
      <w:pPr>
        <w:spacing w:line="264" w:lineRule="auto"/>
        <w:contextualSpacing/>
        <w:jc w:val="both"/>
        <w:rPr>
          <w:rFonts w:asciiTheme="majorHAnsi" w:hAnsiTheme="majorHAnsi"/>
          <w:sz w:val="24"/>
          <w:szCs w:val="24"/>
        </w:rPr>
      </w:pPr>
    </w:p>
    <w:p w:rsidR="006A68A4" w:rsidRPr="006A68A4" w:rsidRDefault="006A68A4" w:rsidP="006A68A4">
      <w:pPr>
        <w:widowControl w:val="0"/>
        <w:autoSpaceDE w:val="0"/>
        <w:autoSpaceDN w:val="0"/>
        <w:adjustRightInd w:val="0"/>
        <w:spacing w:line="264" w:lineRule="auto"/>
        <w:contextualSpacing/>
        <w:jc w:val="both"/>
        <w:rPr>
          <w:rFonts w:asciiTheme="majorHAnsi" w:hAnsiTheme="majorHAnsi" w:cs="Times New Roman"/>
          <w:b/>
          <w:sz w:val="24"/>
          <w:szCs w:val="24"/>
        </w:rPr>
      </w:pPr>
      <w:r w:rsidRPr="006A68A4">
        <w:rPr>
          <w:rFonts w:asciiTheme="majorHAnsi" w:hAnsiTheme="majorHAnsi" w:cs="Times New Roman"/>
          <w:b/>
          <w:sz w:val="24"/>
          <w:szCs w:val="24"/>
        </w:rPr>
        <w:t xml:space="preserve">Standard treatment protocols </w:t>
      </w:r>
    </w:p>
    <w:p w:rsidR="006A68A4" w:rsidRDefault="006A68A4" w:rsidP="006A68A4">
      <w:pPr>
        <w:widowControl w:val="0"/>
        <w:autoSpaceDE w:val="0"/>
        <w:autoSpaceDN w:val="0"/>
        <w:adjustRightInd w:val="0"/>
        <w:spacing w:line="264" w:lineRule="auto"/>
        <w:contextualSpacing/>
        <w:jc w:val="both"/>
        <w:rPr>
          <w:rFonts w:asciiTheme="majorHAnsi" w:hAnsiTheme="majorHAnsi" w:cs="Times New Roman"/>
          <w:sz w:val="24"/>
          <w:szCs w:val="24"/>
        </w:rPr>
      </w:pPr>
      <w:r w:rsidRPr="006A68A4">
        <w:rPr>
          <w:rFonts w:asciiTheme="majorHAnsi" w:hAnsiTheme="majorHAnsi" w:cs="Times New Roman"/>
          <w:sz w:val="24"/>
          <w:szCs w:val="24"/>
        </w:rPr>
        <w:t>There are many meanings made of standard treatment protocols. Since both HLEG and the 12</w:t>
      </w:r>
      <w:r w:rsidRPr="006A68A4">
        <w:rPr>
          <w:rFonts w:asciiTheme="majorHAnsi" w:hAnsiTheme="majorHAnsi" w:cs="Times New Roman"/>
          <w:sz w:val="24"/>
          <w:szCs w:val="24"/>
          <w:vertAlign w:val="superscript"/>
        </w:rPr>
        <w:t>th</w:t>
      </w:r>
      <w:r w:rsidRPr="006A68A4">
        <w:rPr>
          <w:rFonts w:asciiTheme="majorHAnsi" w:hAnsiTheme="majorHAnsi" w:cs="Times New Roman"/>
          <w:sz w:val="24"/>
          <w:szCs w:val="24"/>
        </w:rPr>
        <w:t xml:space="preserve"> Plan and contemporary discourse on regulation has so much expectation of STPs, a brief explanation of STPs is placed below.</w:t>
      </w:r>
    </w:p>
    <w:p w:rsidR="006A00E5" w:rsidRPr="006A68A4" w:rsidRDefault="006A00E5" w:rsidP="006A68A4">
      <w:pPr>
        <w:widowControl w:val="0"/>
        <w:autoSpaceDE w:val="0"/>
        <w:autoSpaceDN w:val="0"/>
        <w:adjustRightInd w:val="0"/>
        <w:spacing w:line="264" w:lineRule="auto"/>
        <w:contextualSpacing/>
        <w:jc w:val="both"/>
        <w:rPr>
          <w:rFonts w:asciiTheme="majorHAnsi" w:hAnsiTheme="majorHAnsi" w:cs="Times New Roman"/>
          <w:sz w:val="24"/>
          <w:szCs w:val="24"/>
        </w:rPr>
      </w:pPr>
    </w:p>
    <w:p w:rsidR="006A68A4" w:rsidRDefault="006A68A4" w:rsidP="006A68A4">
      <w:pPr>
        <w:widowControl w:val="0"/>
        <w:autoSpaceDE w:val="0"/>
        <w:autoSpaceDN w:val="0"/>
        <w:adjustRightInd w:val="0"/>
        <w:spacing w:line="264" w:lineRule="auto"/>
        <w:contextualSpacing/>
        <w:jc w:val="both"/>
        <w:rPr>
          <w:rFonts w:asciiTheme="majorHAnsi" w:hAnsiTheme="majorHAnsi" w:cs="Times New Roman"/>
          <w:sz w:val="24"/>
          <w:szCs w:val="24"/>
        </w:rPr>
      </w:pPr>
      <w:r w:rsidRPr="006A68A4">
        <w:rPr>
          <w:rFonts w:asciiTheme="majorHAnsi" w:hAnsiTheme="majorHAnsi" w:cs="Times New Roman"/>
          <w:sz w:val="24"/>
          <w:szCs w:val="24"/>
        </w:rPr>
        <w:t xml:space="preserve">1. The Costing Function: To a health economist working on the problems of purchasing care, the very complexity and wide variation in care that is provided for the same disease, makes purchase/payment difficult. If on the other hand care could be standardised- then it could be costed better, enabling purchase. </w:t>
      </w:r>
    </w:p>
    <w:p w:rsidR="006A00E5" w:rsidRPr="006A68A4" w:rsidRDefault="006A00E5" w:rsidP="006A68A4">
      <w:pPr>
        <w:widowControl w:val="0"/>
        <w:autoSpaceDE w:val="0"/>
        <w:autoSpaceDN w:val="0"/>
        <w:adjustRightInd w:val="0"/>
        <w:spacing w:line="264" w:lineRule="auto"/>
        <w:contextualSpacing/>
        <w:jc w:val="both"/>
        <w:rPr>
          <w:rFonts w:asciiTheme="majorHAnsi" w:hAnsiTheme="majorHAnsi" w:cs="Times New Roman"/>
          <w:sz w:val="24"/>
          <w:szCs w:val="24"/>
        </w:rPr>
      </w:pPr>
    </w:p>
    <w:p w:rsidR="006A68A4" w:rsidRDefault="006A68A4" w:rsidP="006A68A4">
      <w:pPr>
        <w:widowControl w:val="0"/>
        <w:autoSpaceDE w:val="0"/>
        <w:autoSpaceDN w:val="0"/>
        <w:adjustRightInd w:val="0"/>
        <w:spacing w:line="264" w:lineRule="auto"/>
        <w:contextualSpacing/>
        <w:jc w:val="both"/>
        <w:rPr>
          <w:rFonts w:asciiTheme="majorHAnsi" w:hAnsiTheme="majorHAnsi" w:cs="Times New Roman"/>
          <w:sz w:val="24"/>
          <w:szCs w:val="24"/>
        </w:rPr>
      </w:pPr>
      <w:r w:rsidRPr="006A68A4">
        <w:rPr>
          <w:rFonts w:asciiTheme="majorHAnsi" w:hAnsiTheme="majorHAnsi" w:cs="Times New Roman"/>
          <w:sz w:val="24"/>
          <w:szCs w:val="24"/>
        </w:rPr>
        <w:t>2. The Packaging Function: To a management expert building a business model, scaling up requires standardisation of the service. Once this is done, the system would be less dependent on doctors and specialists and much more could be done by paramedics with or without aids like telemedicine. Standard treatment protocols are essential for seen as tools for standardization, enabling scaling up.</w:t>
      </w:r>
    </w:p>
    <w:p w:rsidR="006A00E5" w:rsidRPr="006A68A4" w:rsidRDefault="006A00E5" w:rsidP="006A68A4">
      <w:pPr>
        <w:widowControl w:val="0"/>
        <w:autoSpaceDE w:val="0"/>
        <w:autoSpaceDN w:val="0"/>
        <w:adjustRightInd w:val="0"/>
        <w:spacing w:line="264" w:lineRule="auto"/>
        <w:contextualSpacing/>
        <w:jc w:val="both"/>
        <w:rPr>
          <w:rFonts w:asciiTheme="majorHAnsi" w:hAnsiTheme="majorHAnsi" w:cs="Times New Roman"/>
          <w:sz w:val="24"/>
          <w:szCs w:val="24"/>
        </w:rPr>
      </w:pPr>
    </w:p>
    <w:p w:rsidR="006A68A4" w:rsidRDefault="006A68A4" w:rsidP="006A68A4">
      <w:pPr>
        <w:widowControl w:val="0"/>
        <w:autoSpaceDE w:val="0"/>
        <w:autoSpaceDN w:val="0"/>
        <w:adjustRightInd w:val="0"/>
        <w:spacing w:line="264" w:lineRule="auto"/>
        <w:contextualSpacing/>
        <w:jc w:val="both"/>
        <w:rPr>
          <w:rFonts w:asciiTheme="majorHAnsi" w:hAnsiTheme="majorHAnsi" w:cs="Times New Roman"/>
          <w:sz w:val="24"/>
          <w:szCs w:val="24"/>
        </w:rPr>
      </w:pPr>
      <w:r w:rsidRPr="006A68A4">
        <w:rPr>
          <w:rFonts w:asciiTheme="majorHAnsi" w:hAnsiTheme="majorHAnsi" w:cs="Times New Roman"/>
          <w:sz w:val="24"/>
          <w:szCs w:val="24"/>
        </w:rPr>
        <w:t>3. The Policing Function: To governance expert- there is a wide variety of unnecessary care that is provided and many forms of over-prescription or denial that takes place in the private and public sector. STPs are essential tools for regulation of health care- for catching those denying care and for those providing wrong care for erroneous reasons.</w:t>
      </w:r>
    </w:p>
    <w:p w:rsidR="006A00E5" w:rsidRPr="006A68A4" w:rsidRDefault="006A00E5" w:rsidP="006A68A4">
      <w:pPr>
        <w:widowControl w:val="0"/>
        <w:autoSpaceDE w:val="0"/>
        <w:autoSpaceDN w:val="0"/>
        <w:adjustRightInd w:val="0"/>
        <w:spacing w:line="264" w:lineRule="auto"/>
        <w:contextualSpacing/>
        <w:jc w:val="both"/>
        <w:rPr>
          <w:rFonts w:asciiTheme="majorHAnsi" w:hAnsiTheme="majorHAnsi" w:cs="Times New Roman"/>
          <w:sz w:val="24"/>
          <w:szCs w:val="24"/>
        </w:rPr>
      </w:pPr>
    </w:p>
    <w:p w:rsidR="006A68A4" w:rsidRDefault="006A68A4" w:rsidP="006A68A4">
      <w:pPr>
        <w:widowControl w:val="0"/>
        <w:autoSpaceDE w:val="0"/>
        <w:autoSpaceDN w:val="0"/>
        <w:adjustRightInd w:val="0"/>
        <w:spacing w:line="264" w:lineRule="auto"/>
        <w:contextualSpacing/>
        <w:jc w:val="both"/>
        <w:rPr>
          <w:rFonts w:asciiTheme="majorHAnsi" w:hAnsiTheme="majorHAnsi" w:cs="Times New Roman"/>
          <w:sz w:val="24"/>
          <w:szCs w:val="24"/>
        </w:rPr>
      </w:pPr>
      <w:r w:rsidRPr="006A68A4">
        <w:rPr>
          <w:rFonts w:asciiTheme="majorHAnsi" w:hAnsiTheme="majorHAnsi" w:cs="Times New Roman"/>
          <w:sz w:val="24"/>
          <w:szCs w:val="24"/>
        </w:rPr>
        <w:t>4. The Quality Function: To a quality expert- STP is an aid to the provider to manage the complexity of clinical care and make better clinical judgments. Standard treatment protocols ensure that the clinical care provided is effective in bringing about clinical outcomes. It recognizes that medical science is not an exact science and has high levels of complexity, making subj</w:t>
      </w:r>
      <w:r w:rsidR="00957771">
        <w:rPr>
          <w:rFonts w:asciiTheme="majorHAnsi" w:hAnsiTheme="majorHAnsi" w:cs="Times New Roman"/>
          <w:sz w:val="24"/>
          <w:szCs w:val="24"/>
        </w:rPr>
        <w:t>ective individualized judgement</w:t>
      </w:r>
      <w:r w:rsidRPr="006A68A4">
        <w:rPr>
          <w:rFonts w:asciiTheme="majorHAnsi" w:hAnsiTheme="majorHAnsi" w:cs="Times New Roman"/>
          <w:sz w:val="24"/>
          <w:szCs w:val="24"/>
        </w:rPr>
        <w:t xml:space="preserve"> necessary. No health care professional can keep himself abreast of all the changes and advances taking place. The less qualified the professional- the more the STPs become algorithmic- but even at the simplest level- judgment is required.  On the other hand a professor in AIIMS would not use STPs- because individualized judgment is much more – but even here it helps. STPs also help reduce unnecessary care that happens due to “defensive” medicine.</w:t>
      </w:r>
    </w:p>
    <w:p w:rsidR="006A00E5" w:rsidRPr="006A68A4" w:rsidRDefault="006A00E5" w:rsidP="006A68A4">
      <w:pPr>
        <w:widowControl w:val="0"/>
        <w:autoSpaceDE w:val="0"/>
        <w:autoSpaceDN w:val="0"/>
        <w:adjustRightInd w:val="0"/>
        <w:spacing w:line="264" w:lineRule="auto"/>
        <w:contextualSpacing/>
        <w:jc w:val="both"/>
        <w:rPr>
          <w:rFonts w:asciiTheme="majorHAnsi" w:hAnsiTheme="majorHAnsi" w:cs="Times New Roman"/>
          <w:sz w:val="24"/>
          <w:szCs w:val="24"/>
        </w:rPr>
      </w:pPr>
    </w:p>
    <w:p w:rsidR="006A68A4" w:rsidRDefault="006A68A4" w:rsidP="006A68A4">
      <w:pPr>
        <w:spacing w:line="264" w:lineRule="auto"/>
        <w:contextualSpacing/>
        <w:jc w:val="both"/>
        <w:rPr>
          <w:rFonts w:asciiTheme="majorHAnsi" w:hAnsiTheme="majorHAnsi" w:cs="Times New Roman"/>
          <w:sz w:val="24"/>
          <w:szCs w:val="24"/>
        </w:rPr>
      </w:pPr>
      <w:r w:rsidRPr="006A68A4">
        <w:rPr>
          <w:rFonts w:asciiTheme="majorHAnsi" w:hAnsiTheme="majorHAnsi" w:cs="Times New Roman"/>
          <w:sz w:val="24"/>
          <w:szCs w:val="24"/>
        </w:rPr>
        <w:t xml:space="preserve">STPs that build on the fourth function- as an aid to the provider for quality of care are likely to succeed. But as mechanisms of purchase, and of regulation of cost and quality, not much can be expected of this. Insurance companies find the costing and packaging function useful – because it can help them determine what they would reimburse and what they would </w:t>
      </w:r>
      <w:r w:rsidRPr="006A68A4">
        <w:rPr>
          <w:rFonts w:asciiTheme="majorHAnsi" w:hAnsiTheme="majorHAnsi" w:cs="Times New Roman"/>
          <w:sz w:val="24"/>
          <w:szCs w:val="24"/>
        </w:rPr>
        <w:lastRenderedPageBreak/>
        <w:t>disallow. This suits private providers too since they know what they can bill the insurance company for, and the rest they would add into co-payments maximizing returns from both chann</w:t>
      </w:r>
      <w:r w:rsidR="006A00E5">
        <w:rPr>
          <w:rFonts w:asciiTheme="majorHAnsi" w:hAnsiTheme="majorHAnsi" w:cs="Times New Roman"/>
          <w:sz w:val="24"/>
          <w:szCs w:val="24"/>
        </w:rPr>
        <w:t>els. Insurance companies could dis</w:t>
      </w:r>
      <w:r w:rsidRPr="006A68A4">
        <w:rPr>
          <w:rFonts w:asciiTheme="majorHAnsi" w:hAnsiTheme="majorHAnsi" w:cs="Times New Roman"/>
          <w:sz w:val="24"/>
          <w:szCs w:val="24"/>
        </w:rPr>
        <w:t xml:space="preserve">empanel those providers who are consistently overbilling – but in practice this seldom happens. If it is private insurance, then premiums rise and non-renewals and denials of claims become more frequent. And if it is publicly financed insurance then collusion is frequent. Prescription audits are useful tools for a quality circle in a hospital to improve the quality of care it provides- but the nature of the technique is such that it has limited contribution to regulation. </w:t>
      </w:r>
    </w:p>
    <w:p w:rsidR="00D024C7" w:rsidRPr="006A68A4" w:rsidRDefault="00D024C7" w:rsidP="006A68A4">
      <w:pPr>
        <w:spacing w:line="264" w:lineRule="auto"/>
        <w:contextualSpacing/>
        <w:jc w:val="both"/>
        <w:rPr>
          <w:rFonts w:asciiTheme="majorHAnsi" w:hAnsiTheme="majorHAnsi" w:cs="Times New Roman"/>
          <w:sz w:val="24"/>
          <w:szCs w:val="24"/>
        </w:rPr>
      </w:pPr>
    </w:p>
    <w:p w:rsidR="006A68A4" w:rsidRPr="006A68A4" w:rsidRDefault="006A68A4" w:rsidP="006A68A4">
      <w:pPr>
        <w:spacing w:line="264" w:lineRule="auto"/>
        <w:contextualSpacing/>
        <w:jc w:val="both"/>
        <w:rPr>
          <w:rFonts w:asciiTheme="majorHAnsi" w:hAnsiTheme="majorHAnsi"/>
          <w:b/>
          <w:sz w:val="24"/>
          <w:szCs w:val="24"/>
        </w:rPr>
      </w:pPr>
      <w:r w:rsidRPr="006A68A4">
        <w:rPr>
          <w:rFonts w:asciiTheme="majorHAnsi" w:hAnsiTheme="majorHAnsi"/>
          <w:b/>
          <w:sz w:val="24"/>
          <w:szCs w:val="24"/>
        </w:rPr>
        <w:t>Way Forward:</w:t>
      </w:r>
    </w:p>
    <w:p w:rsidR="006A68A4" w:rsidRP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The following are the suggestions:</w:t>
      </w:r>
    </w:p>
    <w:p w:rsidR="006A68A4" w:rsidRDefault="006A68A4" w:rsidP="006A68A4">
      <w:pPr>
        <w:pStyle w:val="ListParagraph"/>
        <w:numPr>
          <w:ilvl w:val="0"/>
          <w:numId w:val="19"/>
        </w:numPr>
        <w:spacing w:after="0" w:line="264" w:lineRule="auto"/>
        <w:jc w:val="both"/>
        <w:rPr>
          <w:rFonts w:asciiTheme="majorHAnsi" w:hAnsiTheme="majorHAnsi"/>
          <w:sz w:val="24"/>
          <w:szCs w:val="24"/>
        </w:rPr>
      </w:pPr>
      <w:r w:rsidRPr="006A68A4">
        <w:rPr>
          <w:rFonts w:asciiTheme="majorHAnsi" w:hAnsiTheme="majorHAnsi"/>
          <w:sz w:val="24"/>
          <w:szCs w:val="24"/>
        </w:rPr>
        <w:t xml:space="preserve">We should build on the National Quality of Care Framework for Public Hospitals. These include measurable criteria. States can add standards and criteria. More important they can adapt it by choosing their benchmarks. To begin with a standing committee with a secretariat would play this role. The directorates and ministry of health, as well as private bodies are involved in the process of defining standards, measurable elements, check-lists and benchmarks- as well as putting in place the scoring system. It may be understood that there are some areas of concern for public health care facilities, which would not apply to private facilities and vice versa- and this level of flexibility would be available in the setting of standards. </w:t>
      </w:r>
    </w:p>
    <w:p w:rsidR="003C69FF" w:rsidRPr="006A68A4" w:rsidRDefault="003C69FF" w:rsidP="003C69FF">
      <w:pPr>
        <w:pStyle w:val="ListParagraph"/>
        <w:spacing w:after="0" w:line="264" w:lineRule="auto"/>
        <w:jc w:val="both"/>
        <w:rPr>
          <w:rFonts w:asciiTheme="majorHAnsi" w:hAnsiTheme="majorHAnsi"/>
          <w:sz w:val="24"/>
          <w:szCs w:val="24"/>
        </w:rPr>
      </w:pPr>
    </w:p>
    <w:p w:rsidR="006A68A4" w:rsidRDefault="006A68A4" w:rsidP="006A68A4">
      <w:pPr>
        <w:pStyle w:val="ListParagraph"/>
        <w:numPr>
          <w:ilvl w:val="0"/>
          <w:numId w:val="19"/>
        </w:numPr>
        <w:spacing w:after="0" w:line="264" w:lineRule="auto"/>
        <w:jc w:val="both"/>
        <w:rPr>
          <w:rFonts w:asciiTheme="majorHAnsi" w:hAnsiTheme="majorHAnsi"/>
          <w:sz w:val="24"/>
          <w:szCs w:val="24"/>
        </w:rPr>
      </w:pPr>
      <w:r w:rsidRPr="006A68A4">
        <w:rPr>
          <w:rFonts w:asciiTheme="majorHAnsi" w:hAnsiTheme="majorHAnsi"/>
          <w:sz w:val="24"/>
          <w:szCs w:val="24"/>
        </w:rPr>
        <w:t xml:space="preserve">The quality standards for public hospitals shall specifically develop ways to measure social exclusion, and affirmative action to reach the vulnerable. </w:t>
      </w:r>
    </w:p>
    <w:p w:rsidR="003C69FF" w:rsidRPr="003C69FF" w:rsidRDefault="003C69FF" w:rsidP="003C69FF">
      <w:pPr>
        <w:pStyle w:val="ListParagraph"/>
        <w:rPr>
          <w:rFonts w:asciiTheme="majorHAnsi" w:hAnsiTheme="majorHAnsi"/>
          <w:sz w:val="24"/>
          <w:szCs w:val="24"/>
        </w:rPr>
      </w:pPr>
    </w:p>
    <w:p w:rsidR="006A68A4" w:rsidRDefault="006A68A4" w:rsidP="006A68A4">
      <w:pPr>
        <w:pStyle w:val="ListParagraph"/>
        <w:numPr>
          <w:ilvl w:val="0"/>
          <w:numId w:val="19"/>
        </w:numPr>
        <w:spacing w:after="0" w:line="264" w:lineRule="auto"/>
        <w:jc w:val="both"/>
        <w:rPr>
          <w:rFonts w:asciiTheme="majorHAnsi" w:hAnsiTheme="majorHAnsi"/>
          <w:sz w:val="24"/>
          <w:szCs w:val="24"/>
        </w:rPr>
      </w:pPr>
      <w:r w:rsidRPr="006A68A4">
        <w:rPr>
          <w:rFonts w:asciiTheme="majorHAnsi" w:hAnsiTheme="majorHAnsi"/>
          <w:sz w:val="24"/>
          <w:szCs w:val="24"/>
        </w:rPr>
        <w:t xml:space="preserve">The actual process of assessing and certifying facilities should be done by an independent agency, which has such a mandate given by a cabinet level executive approval. Such a body would be accredited itself by the National Accreditation Board for Certification bodies (NABCB) of (Quality Council of India)QCI. The auditors used for external assessment leading to certification would be also registered with QCI and fulfill minimum norms of such registration. These auditors would have the training required to assess on the basis of these standards. The process of assessment and certifying of facilities would be ring fenced from influence by line departments managing public facilities as well as from corporate agencies. The body that assesses and certifies should also not award contracts for management support. Such facility certification is renewed annually by an annual surveillance audit. </w:t>
      </w:r>
    </w:p>
    <w:p w:rsidR="003C69FF" w:rsidRPr="003C69FF" w:rsidRDefault="003C69FF" w:rsidP="003C69FF">
      <w:pPr>
        <w:pStyle w:val="ListParagraph"/>
        <w:rPr>
          <w:rFonts w:asciiTheme="majorHAnsi" w:hAnsiTheme="majorHAnsi"/>
          <w:sz w:val="24"/>
          <w:szCs w:val="24"/>
        </w:rPr>
      </w:pPr>
    </w:p>
    <w:p w:rsidR="006A68A4" w:rsidRPr="006A68A4" w:rsidRDefault="006A68A4" w:rsidP="006A68A4">
      <w:pPr>
        <w:pStyle w:val="ListParagraph"/>
        <w:numPr>
          <w:ilvl w:val="0"/>
          <w:numId w:val="19"/>
        </w:numPr>
        <w:spacing w:after="0" w:line="264" w:lineRule="auto"/>
        <w:jc w:val="both"/>
        <w:rPr>
          <w:rFonts w:asciiTheme="majorHAnsi" w:hAnsiTheme="majorHAnsi"/>
          <w:sz w:val="24"/>
          <w:szCs w:val="24"/>
        </w:rPr>
      </w:pPr>
      <w:r w:rsidRPr="006A68A4">
        <w:rPr>
          <w:rFonts w:asciiTheme="majorHAnsi" w:hAnsiTheme="majorHAnsi"/>
          <w:sz w:val="24"/>
          <w:szCs w:val="24"/>
        </w:rPr>
        <w:t xml:space="preserve">The processes of monitoring, evaluation, internal capacity building and implementation support are best left to departments, resource </w:t>
      </w:r>
      <w:r w:rsidR="00957771" w:rsidRPr="006A68A4">
        <w:rPr>
          <w:rFonts w:asciiTheme="majorHAnsi" w:hAnsiTheme="majorHAnsi"/>
          <w:sz w:val="24"/>
          <w:szCs w:val="24"/>
        </w:rPr>
        <w:t>centres and</w:t>
      </w:r>
      <w:r w:rsidRPr="006A68A4">
        <w:rPr>
          <w:rFonts w:asciiTheme="majorHAnsi" w:hAnsiTheme="majorHAnsi"/>
          <w:sz w:val="24"/>
          <w:szCs w:val="24"/>
        </w:rPr>
        <w:t xml:space="preserve">management consultancies. No doubt there is a need for robust institutional mechanisms of doing so and the council would help set </w:t>
      </w:r>
      <w:r w:rsidR="00957771" w:rsidRPr="006A68A4">
        <w:rPr>
          <w:rFonts w:asciiTheme="majorHAnsi" w:hAnsiTheme="majorHAnsi"/>
          <w:sz w:val="24"/>
          <w:szCs w:val="24"/>
        </w:rPr>
        <w:t>this up-</w:t>
      </w:r>
      <w:r w:rsidRPr="006A68A4">
        <w:rPr>
          <w:rFonts w:asciiTheme="majorHAnsi" w:hAnsiTheme="majorHAnsi"/>
          <w:sz w:val="24"/>
          <w:szCs w:val="24"/>
        </w:rPr>
        <w:t xml:space="preserve"> but these are not </w:t>
      </w:r>
      <w:r w:rsidRPr="006A68A4">
        <w:rPr>
          <w:rFonts w:asciiTheme="majorHAnsi" w:hAnsiTheme="majorHAnsi"/>
          <w:sz w:val="24"/>
          <w:szCs w:val="24"/>
        </w:rPr>
        <w:lastRenderedPageBreak/>
        <w:t xml:space="preserve">areas where conflict of interests is a concern- and there is no need to seal it from any sort of influence. It is only the process of assessing and certifying that should be sealed. </w:t>
      </w: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r w:rsidRPr="006A68A4">
        <w:rPr>
          <w:rFonts w:asciiTheme="majorHAnsi" w:hAnsiTheme="majorHAnsi"/>
          <w:b/>
          <w:sz w:val="24"/>
          <w:szCs w:val="24"/>
        </w:rPr>
        <w:t>Institutional Structures and their roles</w:t>
      </w:r>
    </w:p>
    <w:p w:rsidR="006A68A4" w:rsidRPr="006A68A4" w:rsidRDefault="006A68A4" w:rsidP="006A68A4">
      <w:pPr>
        <w:pStyle w:val="ListParagraph"/>
        <w:numPr>
          <w:ilvl w:val="0"/>
          <w:numId w:val="20"/>
        </w:numPr>
        <w:spacing w:after="0" w:line="264" w:lineRule="auto"/>
        <w:jc w:val="both"/>
        <w:rPr>
          <w:rFonts w:asciiTheme="majorHAnsi" w:hAnsiTheme="majorHAnsi"/>
          <w:b/>
          <w:sz w:val="24"/>
          <w:szCs w:val="24"/>
        </w:rPr>
      </w:pPr>
      <w:r w:rsidRPr="006A68A4">
        <w:rPr>
          <w:rFonts w:asciiTheme="majorHAnsi" w:hAnsiTheme="majorHAnsi"/>
          <w:b/>
          <w:sz w:val="24"/>
          <w:szCs w:val="24"/>
        </w:rPr>
        <w:t>National Council for Clinical Establishments: and State Councils.</w:t>
      </w:r>
    </w:p>
    <w:p w:rsidR="006A68A4" w:rsidRPr="006A68A4" w:rsidRDefault="006A68A4" w:rsidP="006A68A4">
      <w:pPr>
        <w:pStyle w:val="ListParagraph"/>
        <w:spacing w:line="264" w:lineRule="auto"/>
        <w:jc w:val="both"/>
        <w:rPr>
          <w:rFonts w:asciiTheme="majorHAnsi" w:hAnsiTheme="majorHAnsi"/>
          <w:i/>
          <w:sz w:val="24"/>
          <w:szCs w:val="24"/>
        </w:rPr>
      </w:pPr>
      <w:r w:rsidRPr="006A68A4">
        <w:rPr>
          <w:rFonts w:asciiTheme="majorHAnsi" w:hAnsiTheme="majorHAnsi"/>
          <w:i/>
          <w:sz w:val="24"/>
          <w:szCs w:val="24"/>
        </w:rPr>
        <w:t>This shall have the following roles and responsibilities.</w:t>
      </w:r>
    </w:p>
    <w:p w:rsidR="006A68A4" w:rsidRPr="006A68A4" w:rsidRDefault="006A68A4" w:rsidP="006A68A4">
      <w:pPr>
        <w:pStyle w:val="ListParagraph"/>
        <w:numPr>
          <w:ilvl w:val="1"/>
          <w:numId w:val="20"/>
        </w:numPr>
        <w:spacing w:after="0" w:line="264" w:lineRule="auto"/>
        <w:jc w:val="both"/>
        <w:rPr>
          <w:rFonts w:asciiTheme="majorHAnsi" w:hAnsiTheme="majorHAnsi"/>
          <w:sz w:val="24"/>
          <w:szCs w:val="24"/>
        </w:rPr>
      </w:pPr>
      <w:r w:rsidRPr="006A68A4">
        <w:rPr>
          <w:rFonts w:asciiTheme="majorHAnsi" w:hAnsiTheme="majorHAnsi"/>
          <w:sz w:val="24"/>
          <w:szCs w:val="24"/>
        </w:rPr>
        <w:t>The National Council shall set up standing committee for defining the national standards and reviewing and improving upon them. But none of the national standards can be dropped by the state. These act as default standards for any state that does not have its own standards in place. These are preferably notified by Bureau of Indian Standards and made in coordination with them.</w:t>
      </w:r>
    </w:p>
    <w:p w:rsidR="006A68A4" w:rsidRPr="006A68A4" w:rsidRDefault="006A68A4" w:rsidP="006A68A4">
      <w:pPr>
        <w:pStyle w:val="ListParagraph"/>
        <w:numPr>
          <w:ilvl w:val="1"/>
          <w:numId w:val="20"/>
        </w:numPr>
        <w:spacing w:after="0" w:line="264" w:lineRule="auto"/>
        <w:jc w:val="both"/>
        <w:rPr>
          <w:rFonts w:asciiTheme="majorHAnsi" w:hAnsiTheme="majorHAnsi"/>
          <w:sz w:val="24"/>
          <w:szCs w:val="24"/>
        </w:rPr>
      </w:pPr>
      <w:r w:rsidRPr="006A68A4">
        <w:rPr>
          <w:rFonts w:asciiTheme="majorHAnsi" w:hAnsiTheme="majorHAnsi"/>
          <w:sz w:val="24"/>
          <w:szCs w:val="24"/>
        </w:rPr>
        <w:t xml:space="preserve">States could alter benchmarks, and measurable elements- but standards remain consistent across the nation. </w:t>
      </w:r>
      <w:r w:rsidR="004F3A8C">
        <w:rPr>
          <w:rFonts w:asciiTheme="majorHAnsi" w:hAnsiTheme="majorHAnsi"/>
          <w:sz w:val="24"/>
          <w:szCs w:val="24"/>
        </w:rPr>
        <w:t>Thus one standard could read- “</w:t>
      </w:r>
      <w:r w:rsidRPr="006A68A4">
        <w:rPr>
          <w:rFonts w:asciiTheme="majorHAnsi" w:hAnsiTheme="majorHAnsi"/>
          <w:sz w:val="24"/>
          <w:szCs w:val="24"/>
        </w:rPr>
        <w:t>clinical establishment has adequate midwife</w:t>
      </w:r>
      <w:r w:rsidR="00957771">
        <w:rPr>
          <w:rFonts w:asciiTheme="majorHAnsi" w:hAnsiTheme="majorHAnsi"/>
          <w:sz w:val="24"/>
          <w:szCs w:val="24"/>
        </w:rPr>
        <w:t>r</w:t>
      </w:r>
      <w:r w:rsidRPr="006A68A4">
        <w:rPr>
          <w:rFonts w:asciiTheme="majorHAnsi" w:hAnsiTheme="majorHAnsi"/>
          <w:sz w:val="24"/>
          <w:szCs w:val="24"/>
        </w:rPr>
        <w:t>y staff in place with necessary skills for managing institutional delivery” .  The measurable elements  may be : “ 3 staff nurses at least or a ratio of one to 20 deliveries per month- whichever is more” and that they should have attended a 21 day SBA training programme in an accredited training institution and got certified. These measurable elements and benchmarks could be altered by the state council- but the standard itself is non- alterable- though it too could be elaborated or expanded upon.</w:t>
      </w:r>
    </w:p>
    <w:p w:rsidR="006A68A4" w:rsidRPr="006A68A4" w:rsidRDefault="006A68A4" w:rsidP="006A68A4">
      <w:pPr>
        <w:pStyle w:val="ListParagraph"/>
        <w:numPr>
          <w:ilvl w:val="1"/>
          <w:numId w:val="20"/>
        </w:numPr>
        <w:spacing w:after="0" w:line="264" w:lineRule="auto"/>
        <w:jc w:val="both"/>
        <w:rPr>
          <w:rFonts w:asciiTheme="majorHAnsi" w:hAnsiTheme="majorHAnsi"/>
          <w:sz w:val="24"/>
          <w:szCs w:val="24"/>
        </w:rPr>
      </w:pPr>
      <w:r w:rsidRPr="006A68A4">
        <w:rPr>
          <w:rFonts w:asciiTheme="majorHAnsi" w:hAnsiTheme="majorHAnsi"/>
          <w:sz w:val="24"/>
          <w:szCs w:val="24"/>
        </w:rPr>
        <w:t>The National and State Councils are the authorities for registration and de-registration of clinical establishments. Registration is essential for being allowed to function. The National and State Councils would receive reports on quality of care from the assessment body and ta</w:t>
      </w:r>
      <w:r w:rsidR="00564F07">
        <w:rPr>
          <w:rFonts w:asciiTheme="majorHAnsi" w:hAnsiTheme="majorHAnsi"/>
          <w:sz w:val="24"/>
          <w:szCs w:val="24"/>
        </w:rPr>
        <w:t xml:space="preserve">ke this into consideration and </w:t>
      </w:r>
      <w:r w:rsidRPr="006A68A4">
        <w:rPr>
          <w:rFonts w:asciiTheme="majorHAnsi" w:hAnsiTheme="majorHAnsi"/>
          <w:sz w:val="24"/>
          <w:szCs w:val="24"/>
        </w:rPr>
        <w:t>decide on suitable action, keeping in mind the context and multiple concerns of governance and long term policy. The decisions may therefore be:</w:t>
      </w:r>
    </w:p>
    <w:p w:rsidR="006A68A4" w:rsidRPr="006A68A4" w:rsidRDefault="006A68A4" w:rsidP="006A68A4">
      <w:pPr>
        <w:pStyle w:val="ListParagraph"/>
        <w:numPr>
          <w:ilvl w:val="2"/>
          <w:numId w:val="20"/>
        </w:numPr>
        <w:spacing w:after="0" w:line="264" w:lineRule="auto"/>
        <w:jc w:val="both"/>
        <w:rPr>
          <w:rFonts w:asciiTheme="majorHAnsi" w:hAnsiTheme="majorHAnsi"/>
          <w:sz w:val="24"/>
          <w:szCs w:val="24"/>
        </w:rPr>
      </w:pPr>
      <w:r w:rsidRPr="006A68A4">
        <w:rPr>
          <w:rFonts w:asciiTheme="majorHAnsi" w:hAnsiTheme="majorHAnsi"/>
          <w:sz w:val="24"/>
          <w:szCs w:val="24"/>
        </w:rPr>
        <w:t xml:space="preserve">Maintaining the registration of those clinical establishments who have desired scores on quality. </w:t>
      </w:r>
    </w:p>
    <w:p w:rsidR="006A68A4" w:rsidRPr="006A68A4" w:rsidRDefault="006A68A4" w:rsidP="006A68A4">
      <w:pPr>
        <w:pStyle w:val="ListParagraph"/>
        <w:numPr>
          <w:ilvl w:val="2"/>
          <w:numId w:val="20"/>
        </w:numPr>
        <w:spacing w:after="0" w:line="264" w:lineRule="auto"/>
        <w:jc w:val="both"/>
        <w:rPr>
          <w:rFonts w:asciiTheme="majorHAnsi" w:hAnsiTheme="majorHAnsi"/>
          <w:sz w:val="24"/>
          <w:szCs w:val="24"/>
        </w:rPr>
      </w:pPr>
      <w:r w:rsidRPr="006A68A4">
        <w:rPr>
          <w:rFonts w:asciiTheme="majorHAnsi" w:hAnsiTheme="majorHAnsi"/>
          <w:sz w:val="24"/>
          <w:szCs w:val="24"/>
        </w:rPr>
        <w:t>Allow/Enable clinical establishments who are registered and who have not achieved desired scores on quality to close gaps</w:t>
      </w:r>
      <w:r w:rsidR="00957771">
        <w:rPr>
          <w:rFonts w:asciiTheme="majorHAnsi" w:hAnsiTheme="majorHAnsi"/>
          <w:sz w:val="24"/>
          <w:szCs w:val="24"/>
        </w:rPr>
        <w:t xml:space="preserve">, </w:t>
      </w:r>
      <w:r w:rsidRPr="006A68A4">
        <w:rPr>
          <w:rFonts w:asciiTheme="majorHAnsi" w:hAnsiTheme="majorHAnsi"/>
          <w:sz w:val="24"/>
          <w:szCs w:val="24"/>
        </w:rPr>
        <w:t xml:space="preserve">deferring de-registration or suspending registration, or providing conditional registration as appropriate. </w:t>
      </w:r>
    </w:p>
    <w:p w:rsidR="006A68A4" w:rsidRPr="006A68A4" w:rsidRDefault="006A68A4" w:rsidP="006A68A4">
      <w:pPr>
        <w:pStyle w:val="ListParagraph"/>
        <w:numPr>
          <w:ilvl w:val="1"/>
          <w:numId w:val="20"/>
        </w:numPr>
        <w:spacing w:after="0" w:line="264" w:lineRule="auto"/>
        <w:jc w:val="both"/>
        <w:rPr>
          <w:rFonts w:asciiTheme="majorHAnsi" w:hAnsiTheme="majorHAnsi"/>
          <w:i/>
          <w:sz w:val="24"/>
          <w:szCs w:val="24"/>
        </w:rPr>
      </w:pPr>
      <w:r w:rsidRPr="006A68A4">
        <w:rPr>
          <w:rFonts w:asciiTheme="majorHAnsi" w:hAnsiTheme="majorHAnsi"/>
          <w:i/>
          <w:sz w:val="24"/>
          <w:szCs w:val="24"/>
        </w:rPr>
        <w:t>The state council shall also receive reports on costs of care, ethical issues like kick-backs  and conflict of interest on referrals , issues related to exclusion, and the clinical establishment abiding by its contractual and legal obligations from the Monitoring and Management Support Agency/cies. These will also be inputs to its decisions on registration and de-registration.</w:t>
      </w:r>
    </w:p>
    <w:p w:rsidR="006A68A4" w:rsidRPr="006A68A4" w:rsidRDefault="006A68A4" w:rsidP="006A68A4">
      <w:pPr>
        <w:pStyle w:val="ListParagraph"/>
        <w:numPr>
          <w:ilvl w:val="1"/>
          <w:numId w:val="20"/>
        </w:numPr>
        <w:spacing w:after="0" w:line="264" w:lineRule="auto"/>
        <w:jc w:val="both"/>
        <w:rPr>
          <w:rFonts w:asciiTheme="majorHAnsi" w:hAnsiTheme="majorHAnsi"/>
          <w:sz w:val="24"/>
          <w:szCs w:val="24"/>
        </w:rPr>
      </w:pPr>
      <w:r w:rsidRPr="006A68A4">
        <w:rPr>
          <w:rFonts w:asciiTheme="majorHAnsi" w:hAnsiTheme="majorHAnsi"/>
          <w:sz w:val="24"/>
          <w:szCs w:val="24"/>
        </w:rPr>
        <w:lastRenderedPageBreak/>
        <w:t xml:space="preserve">It is the state council that shall be the registering (licensing) authority.  The national council is licensing authority only where states request this from the national council, in which case the national council can undertake to set up the state council as its branch. </w:t>
      </w:r>
    </w:p>
    <w:p w:rsidR="006A68A4" w:rsidRPr="006A68A4" w:rsidRDefault="006A68A4" w:rsidP="006A68A4">
      <w:pPr>
        <w:pStyle w:val="ListParagraph"/>
        <w:numPr>
          <w:ilvl w:val="1"/>
          <w:numId w:val="20"/>
        </w:numPr>
        <w:spacing w:after="0" w:line="264" w:lineRule="auto"/>
        <w:jc w:val="both"/>
        <w:rPr>
          <w:rFonts w:asciiTheme="majorHAnsi" w:hAnsiTheme="majorHAnsi"/>
          <w:sz w:val="24"/>
          <w:szCs w:val="24"/>
        </w:rPr>
      </w:pPr>
      <w:r w:rsidRPr="006A68A4">
        <w:rPr>
          <w:rFonts w:asciiTheme="majorHAnsi" w:hAnsiTheme="majorHAnsi"/>
          <w:sz w:val="24"/>
          <w:szCs w:val="24"/>
        </w:rPr>
        <w:t xml:space="preserve">The national and state council shall receive complaints from service users regarding clinical establishments or grievances from clinical establishments regarding registration process and address these within a fixed time period- using quality standards for its own functioning.  </w:t>
      </w:r>
    </w:p>
    <w:p w:rsidR="006A68A4" w:rsidRPr="006A68A4" w:rsidRDefault="006A68A4" w:rsidP="006A68A4">
      <w:pPr>
        <w:spacing w:line="264" w:lineRule="auto"/>
        <w:contextualSpacing/>
        <w:jc w:val="both"/>
        <w:rPr>
          <w:rFonts w:asciiTheme="majorHAnsi" w:hAnsiTheme="majorHAnsi"/>
          <w:sz w:val="24"/>
          <w:szCs w:val="24"/>
        </w:rPr>
      </w:pPr>
    </w:p>
    <w:p w:rsidR="004F3A8C" w:rsidRPr="00CC5663" w:rsidRDefault="004F3A8C" w:rsidP="006A68A4">
      <w:pPr>
        <w:spacing w:line="264" w:lineRule="auto"/>
        <w:contextualSpacing/>
        <w:jc w:val="both"/>
        <w:rPr>
          <w:rFonts w:asciiTheme="majorHAnsi" w:hAnsiTheme="majorHAnsi"/>
          <w:b/>
          <w:sz w:val="24"/>
          <w:szCs w:val="24"/>
        </w:rPr>
      </w:pPr>
      <w:r w:rsidRPr="00CC5663">
        <w:rPr>
          <w:rFonts w:asciiTheme="majorHAnsi" w:hAnsiTheme="majorHAnsi"/>
          <w:b/>
          <w:sz w:val="24"/>
          <w:szCs w:val="24"/>
        </w:rPr>
        <w:t xml:space="preserve">Constitutions of </w:t>
      </w:r>
      <w:r w:rsidR="006A68A4" w:rsidRPr="00CC5663">
        <w:rPr>
          <w:rFonts w:asciiTheme="majorHAnsi" w:hAnsiTheme="majorHAnsi"/>
          <w:b/>
          <w:sz w:val="24"/>
          <w:szCs w:val="24"/>
        </w:rPr>
        <w:t xml:space="preserve">the National Council </w:t>
      </w:r>
      <w:r w:rsidRPr="00CC5663">
        <w:rPr>
          <w:rFonts w:asciiTheme="majorHAnsi" w:hAnsiTheme="majorHAnsi"/>
          <w:b/>
          <w:sz w:val="24"/>
          <w:szCs w:val="24"/>
        </w:rPr>
        <w:t>and functions</w:t>
      </w:r>
    </w:p>
    <w:p w:rsidR="004F3A8C" w:rsidRPr="00CC5663" w:rsidRDefault="004F3A8C"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 xml:space="preserve">National Council already constituted under the Act: Its standing committee on standards shall work with BIS for finalization of the standards. This standing  would have a full time secretariat. The State Councils would have a similar constitution to the national council. It would have a standing committee for finalization of standards, a division that shall receive reports from assessment and monitoring bodies and take the decision on registration and de-registration and a third division that would organize the monitoring of clinical establishments for adherence to contractual obligations and oversee the contracts, and a fourth for grievance redressal.  The organizational requirements – staff, office space- for this at state and district level should be factored in. </w:t>
      </w:r>
    </w:p>
    <w:p w:rsidR="006A68A4" w:rsidRPr="006A68A4" w:rsidRDefault="006A68A4" w:rsidP="006A68A4">
      <w:pPr>
        <w:pStyle w:val="ListParagraph"/>
        <w:numPr>
          <w:ilvl w:val="0"/>
          <w:numId w:val="20"/>
        </w:numPr>
        <w:spacing w:after="0" w:line="264" w:lineRule="auto"/>
        <w:jc w:val="both"/>
        <w:rPr>
          <w:rFonts w:asciiTheme="majorHAnsi" w:hAnsiTheme="majorHAnsi"/>
          <w:sz w:val="24"/>
          <w:szCs w:val="24"/>
        </w:rPr>
      </w:pPr>
      <w:r w:rsidRPr="006A68A4">
        <w:rPr>
          <w:rFonts w:asciiTheme="majorHAnsi" w:hAnsiTheme="majorHAnsi"/>
          <w:b/>
          <w:sz w:val="24"/>
          <w:szCs w:val="24"/>
        </w:rPr>
        <w:t>Assessing and Certifying Body:</w:t>
      </w:r>
      <w:r w:rsidRPr="006A68A4">
        <w:rPr>
          <w:rFonts w:asciiTheme="majorHAnsi" w:hAnsiTheme="majorHAnsi"/>
          <w:sz w:val="24"/>
          <w:szCs w:val="24"/>
        </w:rPr>
        <w:t xml:space="preserve">(could also be called the Accrediting body) </w:t>
      </w:r>
    </w:p>
    <w:p w:rsidR="006A68A4" w:rsidRPr="006A68A4" w:rsidRDefault="006A68A4" w:rsidP="006A68A4">
      <w:pPr>
        <w:pStyle w:val="ListParagraph"/>
        <w:numPr>
          <w:ilvl w:val="1"/>
          <w:numId w:val="20"/>
        </w:numPr>
        <w:spacing w:after="0" w:line="264" w:lineRule="auto"/>
        <w:jc w:val="both"/>
        <w:rPr>
          <w:rFonts w:asciiTheme="majorHAnsi" w:hAnsiTheme="majorHAnsi"/>
          <w:sz w:val="24"/>
          <w:szCs w:val="24"/>
        </w:rPr>
      </w:pPr>
      <w:r w:rsidRPr="006A68A4">
        <w:rPr>
          <w:rFonts w:asciiTheme="majorHAnsi" w:hAnsiTheme="majorHAnsi"/>
          <w:sz w:val="24"/>
          <w:szCs w:val="24"/>
        </w:rPr>
        <w:t>Shall empanel assessment agencies.</w:t>
      </w:r>
    </w:p>
    <w:p w:rsidR="006A68A4" w:rsidRPr="006A68A4" w:rsidRDefault="006A68A4" w:rsidP="006A68A4">
      <w:pPr>
        <w:pStyle w:val="ListParagraph"/>
        <w:numPr>
          <w:ilvl w:val="1"/>
          <w:numId w:val="20"/>
        </w:numPr>
        <w:spacing w:after="0" w:line="264" w:lineRule="auto"/>
        <w:jc w:val="both"/>
        <w:rPr>
          <w:rFonts w:asciiTheme="majorHAnsi" w:hAnsiTheme="majorHAnsi"/>
          <w:sz w:val="24"/>
          <w:szCs w:val="24"/>
        </w:rPr>
      </w:pPr>
      <w:r w:rsidRPr="006A68A4">
        <w:rPr>
          <w:rFonts w:asciiTheme="majorHAnsi" w:hAnsiTheme="majorHAnsi"/>
          <w:sz w:val="24"/>
          <w:szCs w:val="24"/>
        </w:rPr>
        <w:t>Shall empanel assessors.</w:t>
      </w:r>
    </w:p>
    <w:p w:rsidR="006A68A4" w:rsidRPr="006A68A4" w:rsidRDefault="006A68A4" w:rsidP="006A68A4">
      <w:pPr>
        <w:pStyle w:val="ListParagraph"/>
        <w:numPr>
          <w:ilvl w:val="1"/>
          <w:numId w:val="20"/>
        </w:numPr>
        <w:spacing w:after="0" w:line="264" w:lineRule="auto"/>
        <w:jc w:val="both"/>
        <w:rPr>
          <w:rFonts w:asciiTheme="majorHAnsi" w:hAnsiTheme="majorHAnsi"/>
          <w:sz w:val="24"/>
          <w:szCs w:val="24"/>
        </w:rPr>
      </w:pPr>
      <w:r w:rsidRPr="006A68A4">
        <w:rPr>
          <w:rFonts w:asciiTheme="majorHAnsi" w:hAnsiTheme="majorHAnsi"/>
          <w:sz w:val="24"/>
          <w:szCs w:val="24"/>
        </w:rPr>
        <w:t>Shall be responsible to see that the assessment agencies and individual assessors are adequately trained and accredited and this is renewed on a periodic basis.</w:t>
      </w:r>
    </w:p>
    <w:p w:rsidR="006A68A4" w:rsidRPr="006A68A4" w:rsidRDefault="006A68A4" w:rsidP="006A68A4">
      <w:pPr>
        <w:pStyle w:val="ListParagraph"/>
        <w:numPr>
          <w:ilvl w:val="1"/>
          <w:numId w:val="20"/>
        </w:numPr>
        <w:spacing w:after="0" w:line="264" w:lineRule="auto"/>
        <w:jc w:val="both"/>
        <w:rPr>
          <w:rFonts w:asciiTheme="majorHAnsi" w:hAnsiTheme="majorHAnsi"/>
          <w:sz w:val="24"/>
          <w:szCs w:val="24"/>
        </w:rPr>
      </w:pPr>
      <w:r w:rsidRPr="006A68A4">
        <w:rPr>
          <w:rFonts w:asciiTheme="majorHAnsi" w:hAnsiTheme="majorHAnsi"/>
          <w:sz w:val="24"/>
          <w:szCs w:val="24"/>
        </w:rPr>
        <w:t xml:space="preserve">Shall assign agencies or assessors to undertake assessment of specific clinical establishments. Shall make payments to these assigned agencies or assessors. </w:t>
      </w:r>
    </w:p>
    <w:p w:rsidR="006A68A4" w:rsidRPr="006A68A4" w:rsidRDefault="006A68A4" w:rsidP="006A68A4">
      <w:pPr>
        <w:pStyle w:val="ListParagraph"/>
        <w:numPr>
          <w:ilvl w:val="1"/>
          <w:numId w:val="20"/>
        </w:numPr>
        <w:spacing w:after="0" w:line="264" w:lineRule="auto"/>
        <w:jc w:val="both"/>
        <w:rPr>
          <w:rFonts w:asciiTheme="majorHAnsi" w:hAnsiTheme="majorHAnsi"/>
          <w:sz w:val="24"/>
          <w:szCs w:val="24"/>
        </w:rPr>
      </w:pPr>
      <w:r w:rsidRPr="006A68A4">
        <w:rPr>
          <w:rFonts w:asciiTheme="majorHAnsi" w:hAnsiTheme="majorHAnsi"/>
          <w:sz w:val="24"/>
          <w:szCs w:val="24"/>
        </w:rPr>
        <w:t>Shall receive reports from said agencies or assessors and having satisfy itself on professional integrity of the report- issue a certificate showing the quality scores and forward these to the national/state council.</w:t>
      </w:r>
    </w:p>
    <w:p w:rsidR="006A68A4" w:rsidRPr="006A68A4" w:rsidRDefault="006A68A4" w:rsidP="006A68A4">
      <w:pPr>
        <w:pStyle w:val="ListParagraph"/>
        <w:numPr>
          <w:ilvl w:val="1"/>
          <w:numId w:val="20"/>
        </w:numPr>
        <w:spacing w:after="0" w:line="264" w:lineRule="auto"/>
        <w:jc w:val="both"/>
        <w:rPr>
          <w:rFonts w:asciiTheme="majorHAnsi" w:hAnsiTheme="majorHAnsi"/>
          <w:sz w:val="24"/>
          <w:szCs w:val="24"/>
        </w:rPr>
      </w:pPr>
      <w:r w:rsidRPr="006A68A4">
        <w:rPr>
          <w:rFonts w:asciiTheme="majorHAnsi" w:hAnsiTheme="majorHAnsi"/>
          <w:sz w:val="24"/>
          <w:szCs w:val="24"/>
        </w:rPr>
        <w:t xml:space="preserve">Shall provide feedback to the national council on the adequacy of the standards, benchmarks, and audit check-lists. </w:t>
      </w:r>
    </w:p>
    <w:p w:rsidR="006A68A4" w:rsidRPr="006A68A4" w:rsidRDefault="006A68A4" w:rsidP="006A68A4">
      <w:pPr>
        <w:pStyle w:val="ListParagraph"/>
        <w:numPr>
          <w:ilvl w:val="1"/>
          <w:numId w:val="20"/>
        </w:numPr>
        <w:spacing w:after="0" w:line="264" w:lineRule="auto"/>
        <w:jc w:val="both"/>
        <w:rPr>
          <w:rFonts w:asciiTheme="majorHAnsi" w:hAnsiTheme="majorHAnsi"/>
          <w:sz w:val="24"/>
          <w:szCs w:val="24"/>
        </w:rPr>
      </w:pPr>
      <w:r w:rsidRPr="006A68A4">
        <w:rPr>
          <w:rFonts w:asciiTheme="majorHAnsi" w:hAnsiTheme="majorHAnsi"/>
          <w:sz w:val="24"/>
          <w:szCs w:val="24"/>
        </w:rPr>
        <w:t>Shall put on the public domain all its training protocols and guidelines and instructions it issues to its assessors.</w:t>
      </w:r>
    </w:p>
    <w:p w:rsidR="006A68A4" w:rsidRDefault="006A68A4" w:rsidP="006A68A4">
      <w:pPr>
        <w:pStyle w:val="ListParagraph"/>
        <w:spacing w:line="264" w:lineRule="auto"/>
        <w:ind w:left="1440"/>
        <w:jc w:val="both"/>
        <w:rPr>
          <w:rFonts w:asciiTheme="majorHAnsi" w:hAnsiTheme="majorHAnsi"/>
          <w:sz w:val="24"/>
          <w:szCs w:val="24"/>
        </w:rPr>
      </w:pPr>
    </w:p>
    <w:p w:rsidR="00D024C7" w:rsidRPr="006A68A4" w:rsidRDefault="00D024C7" w:rsidP="006A68A4">
      <w:pPr>
        <w:pStyle w:val="ListParagraph"/>
        <w:spacing w:line="264" w:lineRule="auto"/>
        <w:ind w:left="1440"/>
        <w:jc w:val="both"/>
        <w:rPr>
          <w:rFonts w:asciiTheme="majorHAnsi" w:hAnsiTheme="majorHAnsi"/>
          <w:sz w:val="24"/>
          <w:szCs w:val="24"/>
        </w:rPr>
      </w:pPr>
    </w:p>
    <w:p w:rsidR="006A68A4" w:rsidRP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How this body is created and functions;</w:t>
      </w:r>
    </w:p>
    <w:p w:rsidR="006A68A4" w:rsidRPr="006A68A4" w:rsidRDefault="006A68A4" w:rsidP="006A68A4">
      <w:pPr>
        <w:pStyle w:val="ListParagraph"/>
        <w:spacing w:line="264" w:lineRule="auto"/>
        <w:ind w:left="1440"/>
        <w:jc w:val="both"/>
        <w:rPr>
          <w:rFonts w:asciiTheme="majorHAnsi" w:hAnsiTheme="majorHAnsi"/>
          <w:sz w:val="24"/>
          <w:szCs w:val="24"/>
        </w:rPr>
      </w:pPr>
      <w:r w:rsidRPr="006A68A4">
        <w:rPr>
          <w:rFonts w:asciiTheme="majorHAnsi" w:hAnsiTheme="majorHAnsi"/>
          <w:sz w:val="24"/>
          <w:szCs w:val="24"/>
        </w:rPr>
        <w:lastRenderedPageBreak/>
        <w:t>This agency shall be created by executive order. Its rules and functioning is laid down and supervised by the National Council. But it would be completely autonomous in functioning. The head of the organisation and the other top two or three functionaries shall be chosen by a transparent process and his/her tenure protected so as to seal them from unwanted pressures. The recruitment and training of its employees is by the leadership team. This agency must comply with a</w:t>
      </w:r>
      <w:r w:rsidR="00957771">
        <w:rPr>
          <w:rFonts w:asciiTheme="majorHAnsi" w:hAnsiTheme="majorHAnsi"/>
          <w:sz w:val="24"/>
          <w:szCs w:val="24"/>
        </w:rPr>
        <w:t xml:space="preserve">nd gain accreditation from the </w:t>
      </w:r>
      <w:r w:rsidRPr="006A68A4">
        <w:rPr>
          <w:rFonts w:asciiTheme="majorHAnsi" w:hAnsiTheme="majorHAnsi"/>
          <w:sz w:val="24"/>
          <w:szCs w:val="24"/>
        </w:rPr>
        <w:t>National Accreditation Board for Certification Bodies (NABCB)- which in turn accredits 3</w:t>
      </w:r>
      <w:r w:rsidRPr="006A68A4">
        <w:rPr>
          <w:rFonts w:asciiTheme="majorHAnsi" w:hAnsiTheme="majorHAnsi"/>
          <w:sz w:val="24"/>
          <w:szCs w:val="24"/>
          <w:vertAlign w:val="superscript"/>
        </w:rPr>
        <w:t>rd</w:t>
      </w:r>
      <w:r w:rsidRPr="006A68A4">
        <w:rPr>
          <w:rFonts w:asciiTheme="majorHAnsi" w:hAnsiTheme="majorHAnsi"/>
          <w:sz w:val="24"/>
          <w:szCs w:val="24"/>
        </w:rPr>
        <w:t xml:space="preserve"> party inspection bodies as per ISO 17020. This is a QCI function and it ensures that the institutional design and internal procedures are adequate to the purpose of professional quality assessment. This body – both at center and in states requires office space, staff, and a budget. Assessing so many facilities annually is a huge task.</w:t>
      </w:r>
    </w:p>
    <w:p w:rsidR="006A68A4" w:rsidRPr="006A68A4" w:rsidRDefault="006A68A4" w:rsidP="006A68A4">
      <w:pPr>
        <w:pStyle w:val="ListParagraph"/>
        <w:spacing w:line="264" w:lineRule="auto"/>
        <w:ind w:left="1440"/>
        <w:jc w:val="both"/>
        <w:rPr>
          <w:rFonts w:asciiTheme="majorHAnsi" w:hAnsiTheme="majorHAnsi"/>
          <w:sz w:val="24"/>
          <w:szCs w:val="24"/>
        </w:rPr>
      </w:pPr>
    </w:p>
    <w:p w:rsidR="006A68A4" w:rsidRPr="006A68A4" w:rsidRDefault="006A68A4" w:rsidP="006A68A4">
      <w:pPr>
        <w:pStyle w:val="ListParagraph"/>
        <w:numPr>
          <w:ilvl w:val="0"/>
          <w:numId w:val="20"/>
        </w:numPr>
        <w:spacing w:after="0" w:line="264" w:lineRule="auto"/>
        <w:jc w:val="both"/>
        <w:rPr>
          <w:rFonts w:asciiTheme="majorHAnsi" w:hAnsiTheme="majorHAnsi"/>
          <w:b/>
          <w:sz w:val="24"/>
          <w:szCs w:val="24"/>
        </w:rPr>
      </w:pPr>
      <w:r w:rsidRPr="006A68A4">
        <w:rPr>
          <w:rFonts w:asciiTheme="majorHAnsi" w:hAnsiTheme="majorHAnsi"/>
          <w:b/>
          <w:sz w:val="24"/>
          <w:szCs w:val="24"/>
        </w:rPr>
        <w:t>Management Support Function:</w:t>
      </w:r>
    </w:p>
    <w:p w:rsidR="006A68A4" w:rsidRPr="006A68A4" w:rsidRDefault="006A68A4" w:rsidP="006A68A4">
      <w:pPr>
        <w:pStyle w:val="ListParagraph"/>
        <w:spacing w:line="264" w:lineRule="auto"/>
        <w:jc w:val="both"/>
        <w:rPr>
          <w:rFonts w:asciiTheme="majorHAnsi" w:hAnsiTheme="majorHAnsi"/>
          <w:sz w:val="24"/>
          <w:szCs w:val="24"/>
        </w:rPr>
      </w:pPr>
      <w:r w:rsidRPr="006A68A4">
        <w:rPr>
          <w:rFonts w:asciiTheme="majorHAnsi" w:hAnsiTheme="majorHAnsi"/>
          <w:sz w:val="24"/>
          <w:szCs w:val="24"/>
        </w:rPr>
        <w:t>To achieve effective regulation, other than setting standards, assessment, certification and registration, there are many other support functions needed to ensure that facilities are enabled to achieve these standards and that contracts are well constructed and contractual obligations are honored. The National Council therefore needs much management support. These could be listed as follows:</w:t>
      </w:r>
    </w:p>
    <w:p w:rsidR="006A68A4" w:rsidRPr="006A68A4" w:rsidRDefault="006A68A4" w:rsidP="006A68A4">
      <w:pPr>
        <w:pStyle w:val="ListParagraph"/>
        <w:numPr>
          <w:ilvl w:val="1"/>
          <w:numId w:val="20"/>
        </w:numPr>
        <w:spacing w:after="0" w:line="264" w:lineRule="auto"/>
        <w:jc w:val="both"/>
        <w:rPr>
          <w:rFonts w:asciiTheme="majorHAnsi" w:hAnsiTheme="majorHAnsi"/>
          <w:sz w:val="24"/>
          <w:szCs w:val="24"/>
        </w:rPr>
      </w:pPr>
      <w:r w:rsidRPr="006A68A4">
        <w:rPr>
          <w:rFonts w:asciiTheme="majorHAnsi" w:hAnsiTheme="majorHAnsi"/>
          <w:sz w:val="24"/>
          <w:szCs w:val="24"/>
        </w:rPr>
        <w:t>Monitoring of the following:</w:t>
      </w:r>
    </w:p>
    <w:p w:rsidR="006A68A4" w:rsidRPr="006A68A4" w:rsidRDefault="006A68A4" w:rsidP="006A68A4">
      <w:pPr>
        <w:pStyle w:val="ListParagraph"/>
        <w:numPr>
          <w:ilvl w:val="2"/>
          <w:numId w:val="20"/>
        </w:numPr>
        <w:spacing w:after="0" w:line="264" w:lineRule="auto"/>
        <w:jc w:val="both"/>
        <w:rPr>
          <w:rFonts w:asciiTheme="majorHAnsi" w:hAnsiTheme="majorHAnsi"/>
          <w:sz w:val="24"/>
          <w:szCs w:val="24"/>
        </w:rPr>
      </w:pPr>
      <w:r w:rsidRPr="006A68A4">
        <w:rPr>
          <w:rFonts w:asciiTheme="majorHAnsi" w:hAnsiTheme="majorHAnsi"/>
          <w:sz w:val="24"/>
          <w:szCs w:val="24"/>
        </w:rPr>
        <w:t xml:space="preserve"> Costs of care</w:t>
      </w:r>
    </w:p>
    <w:p w:rsidR="006A68A4" w:rsidRPr="006A68A4" w:rsidRDefault="006A68A4" w:rsidP="006A68A4">
      <w:pPr>
        <w:pStyle w:val="ListParagraph"/>
        <w:numPr>
          <w:ilvl w:val="2"/>
          <w:numId w:val="20"/>
        </w:numPr>
        <w:spacing w:after="0" w:line="264" w:lineRule="auto"/>
        <w:jc w:val="both"/>
        <w:rPr>
          <w:rFonts w:asciiTheme="majorHAnsi" w:hAnsiTheme="majorHAnsi"/>
          <w:sz w:val="24"/>
          <w:szCs w:val="24"/>
        </w:rPr>
      </w:pPr>
      <w:r w:rsidRPr="006A68A4">
        <w:rPr>
          <w:rFonts w:asciiTheme="majorHAnsi" w:hAnsiTheme="majorHAnsi"/>
          <w:sz w:val="24"/>
          <w:szCs w:val="24"/>
        </w:rPr>
        <w:t>Adherence to contractual obligations</w:t>
      </w:r>
    </w:p>
    <w:p w:rsidR="006A68A4" w:rsidRPr="006A68A4" w:rsidRDefault="006A68A4" w:rsidP="006A68A4">
      <w:pPr>
        <w:pStyle w:val="ListParagraph"/>
        <w:numPr>
          <w:ilvl w:val="2"/>
          <w:numId w:val="20"/>
        </w:numPr>
        <w:spacing w:after="0" w:line="264" w:lineRule="auto"/>
        <w:jc w:val="both"/>
        <w:rPr>
          <w:rFonts w:asciiTheme="majorHAnsi" w:hAnsiTheme="majorHAnsi"/>
          <w:sz w:val="24"/>
          <w:szCs w:val="24"/>
        </w:rPr>
      </w:pPr>
      <w:r w:rsidRPr="006A68A4">
        <w:rPr>
          <w:rFonts w:asciiTheme="majorHAnsi" w:hAnsiTheme="majorHAnsi"/>
          <w:sz w:val="24"/>
          <w:szCs w:val="24"/>
        </w:rPr>
        <w:t>Ethical Issues in care.</w:t>
      </w:r>
    </w:p>
    <w:p w:rsidR="006A68A4" w:rsidRPr="006A68A4" w:rsidRDefault="006A68A4" w:rsidP="006A68A4">
      <w:pPr>
        <w:pStyle w:val="ListParagraph"/>
        <w:numPr>
          <w:ilvl w:val="2"/>
          <w:numId w:val="20"/>
        </w:numPr>
        <w:spacing w:after="0" w:line="264" w:lineRule="auto"/>
        <w:jc w:val="both"/>
        <w:rPr>
          <w:rFonts w:asciiTheme="majorHAnsi" w:hAnsiTheme="majorHAnsi"/>
          <w:sz w:val="24"/>
          <w:szCs w:val="24"/>
        </w:rPr>
      </w:pPr>
      <w:r w:rsidRPr="006A68A4">
        <w:rPr>
          <w:rFonts w:asciiTheme="majorHAnsi" w:hAnsiTheme="majorHAnsi"/>
          <w:sz w:val="24"/>
          <w:szCs w:val="24"/>
        </w:rPr>
        <w:t xml:space="preserve">Conflict of interest situations, especially as regards referrals and kick-backs and adherence </w:t>
      </w:r>
    </w:p>
    <w:p w:rsidR="006A68A4" w:rsidRPr="006A68A4" w:rsidRDefault="006A68A4" w:rsidP="006A68A4">
      <w:pPr>
        <w:pStyle w:val="ListParagraph"/>
        <w:numPr>
          <w:ilvl w:val="2"/>
          <w:numId w:val="20"/>
        </w:numPr>
        <w:spacing w:after="0" w:line="264" w:lineRule="auto"/>
        <w:jc w:val="both"/>
        <w:rPr>
          <w:rFonts w:asciiTheme="majorHAnsi" w:hAnsiTheme="majorHAnsi"/>
          <w:sz w:val="24"/>
          <w:szCs w:val="24"/>
        </w:rPr>
      </w:pPr>
      <w:r w:rsidRPr="006A68A4">
        <w:rPr>
          <w:rFonts w:asciiTheme="majorHAnsi" w:hAnsiTheme="majorHAnsi"/>
          <w:sz w:val="24"/>
          <w:szCs w:val="24"/>
        </w:rPr>
        <w:t>Exclusion issues.</w:t>
      </w:r>
    </w:p>
    <w:p w:rsidR="006A68A4" w:rsidRPr="006A68A4" w:rsidRDefault="006A68A4" w:rsidP="006A68A4">
      <w:pPr>
        <w:pStyle w:val="ListParagraph"/>
        <w:spacing w:line="264" w:lineRule="auto"/>
        <w:ind w:left="2160"/>
        <w:jc w:val="both"/>
        <w:rPr>
          <w:rFonts w:asciiTheme="majorHAnsi" w:hAnsiTheme="majorHAnsi"/>
          <w:sz w:val="24"/>
          <w:szCs w:val="24"/>
        </w:rPr>
      </w:pPr>
      <w:r w:rsidRPr="006A68A4">
        <w:rPr>
          <w:rFonts w:asciiTheme="majorHAnsi" w:hAnsiTheme="majorHAnsi"/>
          <w:sz w:val="24"/>
          <w:szCs w:val="24"/>
        </w:rPr>
        <w:t>These issues we note do not fall within the area of standards and quality assurance system- and need not be conflated with the same. But they require a mechanism for monitoring.</w:t>
      </w:r>
    </w:p>
    <w:p w:rsidR="006A68A4" w:rsidRPr="006A68A4" w:rsidRDefault="006A68A4" w:rsidP="006A68A4">
      <w:pPr>
        <w:pStyle w:val="ListParagraph"/>
        <w:numPr>
          <w:ilvl w:val="1"/>
          <w:numId w:val="20"/>
        </w:numPr>
        <w:spacing w:after="0" w:line="264" w:lineRule="auto"/>
        <w:jc w:val="both"/>
        <w:rPr>
          <w:rFonts w:asciiTheme="majorHAnsi" w:hAnsiTheme="majorHAnsi"/>
          <w:sz w:val="24"/>
          <w:szCs w:val="24"/>
        </w:rPr>
      </w:pPr>
      <w:r w:rsidRPr="006A68A4">
        <w:rPr>
          <w:rFonts w:asciiTheme="majorHAnsi" w:hAnsiTheme="majorHAnsi"/>
          <w:sz w:val="24"/>
          <w:szCs w:val="24"/>
        </w:rPr>
        <w:t xml:space="preserve">Evaluation: in terms of achieving its health outcomes, and population coverage and access – as set out under the contractual obligations. </w:t>
      </w:r>
    </w:p>
    <w:p w:rsidR="006A68A4" w:rsidRPr="006A68A4" w:rsidRDefault="006A68A4" w:rsidP="006A68A4">
      <w:pPr>
        <w:pStyle w:val="ListParagraph"/>
        <w:numPr>
          <w:ilvl w:val="1"/>
          <w:numId w:val="20"/>
        </w:numPr>
        <w:spacing w:after="0" w:line="264" w:lineRule="auto"/>
        <w:jc w:val="both"/>
        <w:rPr>
          <w:rFonts w:asciiTheme="majorHAnsi" w:hAnsiTheme="majorHAnsi"/>
          <w:sz w:val="24"/>
          <w:szCs w:val="24"/>
        </w:rPr>
      </w:pPr>
      <w:r w:rsidRPr="006A68A4">
        <w:rPr>
          <w:rFonts w:asciiTheme="majorHAnsi" w:hAnsiTheme="majorHAnsi"/>
          <w:sz w:val="24"/>
          <w:szCs w:val="24"/>
        </w:rPr>
        <w:t>Providing management support to those clinical establishments that need to close gaps in processes- to achieve quality standards.</w:t>
      </w:r>
    </w:p>
    <w:p w:rsidR="006A68A4" w:rsidRPr="006A68A4" w:rsidRDefault="006A68A4" w:rsidP="006A68A4">
      <w:pPr>
        <w:pStyle w:val="ListParagraph"/>
        <w:spacing w:line="264" w:lineRule="auto"/>
        <w:ind w:left="1440"/>
        <w:jc w:val="both"/>
        <w:rPr>
          <w:rFonts w:asciiTheme="majorHAnsi" w:hAnsiTheme="majorHAnsi"/>
          <w:sz w:val="24"/>
          <w:szCs w:val="24"/>
        </w:rPr>
      </w:pPr>
    </w:p>
    <w:p w:rsidR="006A68A4" w:rsidRDefault="006A68A4" w:rsidP="006A68A4">
      <w:pPr>
        <w:pStyle w:val="ListParagraph"/>
        <w:spacing w:line="264" w:lineRule="auto"/>
        <w:ind w:left="1440"/>
        <w:jc w:val="both"/>
        <w:rPr>
          <w:rFonts w:asciiTheme="majorHAnsi" w:hAnsiTheme="majorHAnsi"/>
          <w:sz w:val="24"/>
          <w:szCs w:val="24"/>
        </w:rPr>
      </w:pPr>
      <w:r w:rsidRPr="006A68A4">
        <w:rPr>
          <w:rFonts w:asciiTheme="majorHAnsi" w:hAnsiTheme="majorHAnsi"/>
          <w:sz w:val="24"/>
          <w:szCs w:val="24"/>
        </w:rPr>
        <w:t xml:space="preserve">The management structures that shall play these roles shall be decided by the National and State Councils. The rules have already specified district level structures that can play the monitoring role. The strategy for management support needs to be built into SIHFWs and SHSRCs and also involve management support agencies as appropriate. </w:t>
      </w:r>
    </w:p>
    <w:p w:rsidR="006A68A4" w:rsidRPr="006A68A4" w:rsidRDefault="006A68A4" w:rsidP="006A68A4">
      <w:pPr>
        <w:spacing w:line="264" w:lineRule="auto"/>
        <w:contextualSpacing/>
        <w:jc w:val="both"/>
        <w:rPr>
          <w:rFonts w:asciiTheme="majorHAnsi" w:hAnsiTheme="majorHAnsi"/>
          <w:b/>
          <w:sz w:val="24"/>
          <w:szCs w:val="24"/>
        </w:rPr>
      </w:pPr>
      <w:r w:rsidRPr="006A68A4">
        <w:rPr>
          <w:rFonts w:asciiTheme="majorHAnsi" w:hAnsiTheme="majorHAnsi"/>
          <w:b/>
          <w:sz w:val="24"/>
          <w:szCs w:val="24"/>
        </w:rPr>
        <w:t>In conclusion:</w:t>
      </w:r>
    </w:p>
    <w:p w:rsidR="006A68A4" w:rsidRP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lastRenderedPageBreak/>
        <w:t xml:space="preserve">The main concern is to separate the assessment and accreditation/certification function from the licensing /registration function. Also to separate accreditation/certification function- from defining standards and from management support to achieve standards. </w:t>
      </w:r>
    </w:p>
    <w:p w:rsid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 xml:space="preserve">Government retains control and leadership and therefore accountability for licensing, and management support and therefore ensures that quality and access do not come into conflict. The assessing agency and its objective scoring process is however ring fenced from conflict of interests – be it corporate or the government as provider of care.  It builds on the existing agencies and rules and laws and requires little changes – but such changes as are suggested would be needed. </w:t>
      </w:r>
    </w:p>
    <w:p w:rsidR="00CC5663" w:rsidRPr="006A68A4" w:rsidRDefault="00CC5663" w:rsidP="006A68A4">
      <w:pPr>
        <w:spacing w:line="264" w:lineRule="auto"/>
        <w:contextualSpacing/>
        <w:jc w:val="both"/>
        <w:rPr>
          <w:rFonts w:asciiTheme="majorHAnsi" w:hAnsiTheme="majorHAnsi"/>
          <w:sz w:val="24"/>
          <w:szCs w:val="24"/>
        </w:rPr>
      </w:pPr>
    </w:p>
    <w:p w:rsidR="006A68A4" w:rsidRP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 xml:space="preserve">This note also clarifies the difference between standards, criteria or measurable elements and benchmarks or scoring check-lists- and the multiple meanings and limitations of Standard treatment protocols as a tool for regulation. </w:t>
      </w:r>
    </w:p>
    <w:p w:rsidR="006A68A4" w:rsidRPr="006A68A4" w:rsidRDefault="006A68A4" w:rsidP="006A68A4">
      <w:pPr>
        <w:spacing w:line="264" w:lineRule="auto"/>
        <w:contextualSpacing/>
        <w:rPr>
          <w:rFonts w:asciiTheme="majorHAnsi" w:hAnsiTheme="majorHAnsi" w:cstheme="minorHAnsi"/>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b/>
          <w:sz w:val="24"/>
          <w:szCs w:val="24"/>
        </w:rPr>
      </w:pPr>
    </w:p>
    <w:p w:rsidR="006A68A4" w:rsidRDefault="006A68A4" w:rsidP="006A68A4">
      <w:pPr>
        <w:spacing w:line="264" w:lineRule="auto"/>
        <w:contextualSpacing/>
        <w:jc w:val="both"/>
        <w:rPr>
          <w:rFonts w:asciiTheme="majorHAnsi" w:hAnsiTheme="majorHAnsi"/>
          <w:b/>
          <w:sz w:val="24"/>
          <w:szCs w:val="24"/>
        </w:rPr>
      </w:pPr>
    </w:p>
    <w:p w:rsidR="00CC5663" w:rsidRDefault="00CC5663" w:rsidP="006A68A4">
      <w:pPr>
        <w:spacing w:line="264" w:lineRule="auto"/>
        <w:contextualSpacing/>
        <w:jc w:val="both"/>
        <w:rPr>
          <w:rFonts w:asciiTheme="majorHAnsi" w:hAnsiTheme="majorHAnsi"/>
          <w:b/>
          <w:sz w:val="24"/>
          <w:szCs w:val="24"/>
        </w:rPr>
      </w:pPr>
    </w:p>
    <w:p w:rsidR="00CC5663" w:rsidRDefault="00CC5663" w:rsidP="006A68A4">
      <w:pPr>
        <w:spacing w:line="264" w:lineRule="auto"/>
        <w:contextualSpacing/>
        <w:jc w:val="both"/>
        <w:rPr>
          <w:rFonts w:asciiTheme="majorHAnsi" w:hAnsiTheme="majorHAnsi"/>
          <w:b/>
          <w:sz w:val="24"/>
          <w:szCs w:val="24"/>
        </w:rPr>
      </w:pPr>
    </w:p>
    <w:p w:rsidR="00CC5663" w:rsidRDefault="00CC5663" w:rsidP="006A68A4">
      <w:pPr>
        <w:spacing w:line="264" w:lineRule="auto"/>
        <w:contextualSpacing/>
        <w:jc w:val="both"/>
        <w:rPr>
          <w:rFonts w:asciiTheme="majorHAnsi" w:hAnsiTheme="majorHAnsi"/>
          <w:b/>
          <w:sz w:val="24"/>
          <w:szCs w:val="24"/>
        </w:rPr>
      </w:pPr>
    </w:p>
    <w:p w:rsidR="00CC5663" w:rsidRDefault="00CC5663" w:rsidP="006A68A4">
      <w:pPr>
        <w:spacing w:line="264" w:lineRule="auto"/>
        <w:contextualSpacing/>
        <w:jc w:val="both"/>
        <w:rPr>
          <w:rFonts w:asciiTheme="majorHAnsi" w:hAnsiTheme="majorHAnsi"/>
          <w:b/>
          <w:sz w:val="24"/>
          <w:szCs w:val="24"/>
        </w:rPr>
      </w:pPr>
    </w:p>
    <w:p w:rsidR="00CC5663" w:rsidRDefault="00CC5663" w:rsidP="006A68A4">
      <w:pPr>
        <w:spacing w:line="264" w:lineRule="auto"/>
        <w:contextualSpacing/>
        <w:jc w:val="both"/>
        <w:rPr>
          <w:rFonts w:asciiTheme="majorHAnsi" w:hAnsiTheme="majorHAnsi"/>
          <w:b/>
          <w:sz w:val="24"/>
          <w:szCs w:val="24"/>
        </w:rPr>
      </w:pPr>
    </w:p>
    <w:p w:rsidR="00CC5663" w:rsidRDefault="00CC5663" w:rsidP="006A68A4">
      <w:pPr>
        <w:spacing w:line="264" w:lineRule="auto"/>
        <w:contextualSpacing/>
        <w:jc w:val="both"/>
        <w:rPr>
          <w:rFonts w:asciiTheme="majorHAnsi" w:hAnsiTheme="majorHAnsi"/>
          <w:b/>
          <w:sz w:val="24"/>
          <w:szCs w:val="24"/>
        </w:rPr>
      </w:pPr>
    </w:p>
    <w:p w:rsidR="00CC5663" w:rsidRDefault="00CC5663" w:rsidP="006A68A4">
      <w:pPr>
        <w:spacing w:line="264" w:lineRule="auto"/>
        <w:contextualSpacing/>
        <w:jc w:val="both"/>
        <w:rPr>
          <w:rFonts w:asciiTheme="majorHAnsi" w:hAnsiTheme="majorHAnsi"/>
          <w:b/>
          <w:sz w:val="24"/>
          <w:szCs w:val="24"/>
        </w:rPr>
      </w:pPr>
    </w:p>
    <w:p w:rsidR="00CC5663" w:rsidRDefault="00CC5663" w:rsidP="006A68A4">
      <w:pPr>
        <w:spacing w:line="264" w:lineRule="auto"/>
        <w:contextualSpacing/>
        <w:jc w:val="both"/>
        <w:rPr>
          <w:rFonts w:asciiTheme="majorHAnsi" w:hAnsiTheme="majorHAnsi"/>
          <w:b/>
          <w:sz w:val="24"/>
          <w:szCs w:val="24"/>
        </w:rPr>
      </w:pPr>
    </w:p>
    <w:p w:rsidR="00CC5663" w:rsidRDefault="00CC5663" w:rsidP="006A68A4">
      <w:pPr>
        <w:spacing w:line="264" w:lineRule="auto"/>
        <w:contextualSpacing/>
        <w:jc w:val="both"/>
        <w:rPr>
          <w:rFonts w:asciiTheme="majorHAnsi" w:hAnsiTheme="majorHAnsi"/>
          <w:b/>
          <w:sz w:val="24"/>
          <w:szCs w:val="24"/>
        </w:rPr>
      </w:pPr>
    </w:p>
    <w:p w:rsidR="00CC5663" w:rsidRDefault="00CC5663" w:rsidP="006A68A4">
      <w:pPr>
        <w:spacing w:line="264" w:lineRule="auto"/>
        <w:contextualSpacing/>
        <w:jc w:val="both"/>
        <w:rPr>
          <w:rFonts w:asciiTheme="majorHAnsi" w:hAnsiTheme="majorHAnsi"/>
          <w:b/>
          <w:sz w:val="24"/>
          <w:szCs w:val="24"/>
        </w:rPr>
      </w:pPr>
    </w:p>
    <w:p w:rsidR="00CC5663" w:rsidRDefault="00CC5663" w:rsidP="006A68A4">
      <w:pPr>
        <w:spacing w:line="264" w:lineRule="auto"/>
        <w:contextualSpacing/>
        <w:jc w:val="both"/>
        <w:rPr>
          <w:rFonts w:asciiTheme="majorHAnsi" w:hAnsiTheme="majorHAnsi"/>
          <w:b/>
          <w:sz w:val="24"/>
          <w:szCs w:val="24"/>
        </w:rPr>
      </w:pPr>
    </w:p>
    <w:p w:rsidR="00CC5663" w:rsidRDefault="00CC5663" w:rsidP="006A68A4">
      <w:pPr>
        <w:spacing w:line="264" w:lineRule="auto"/>
        <w:contextualSpacing/>
        <w:jc w:val="both"/>
        <w:rPr>
          <w:rFonts w:asciiTheme="majorHAnsi" w:hAnsiTheme="majorHAnsi"/>
          <w:b/>
          <w:sz w:val="24"/>
          <w:szCs w:val="24"/>
        </w:rPr>
      </w:pPr>
    </w:p>
    <w:p w:rsidR="00CC5663" w:rsidRDefault="00CC5663" w:rsidP="006A68A4">
      <w:pPr>
        <w:spacing w:line="264" w:lineRule="auto"/>
        <w:contextualSpacing/>
        <w:jc w:val="both"/>
        <w:rPr>
          <w:rFonts w:asciiTheme="majorHAnsi" w:hAnsiTheme="majorHAnsi"/>
          <w:b/>
          <w:sz w:val="24"/>
          <w:szCs w:val="24"/>
        </w:rPr>
      </w:pPr>
    </w:p>
    <w:p w:rsidR="00CC5663" w:rsidRDefault="00CC5663" w:rsidP="006A68A4">
      <w:pPr>
        <w:spacing w:line="264" w:lineRule="auto"/>
        <w:contextualSpacing/>
        <w:jc w:val="both"/>
        <w:rPr>
          <w:rFonts w:asciiTheme="majorHAnsi" w:hAnsiTheme="majorHAnsi"/>
          <w:b/>
          <w:sz w:val="24"/>
          <w:szCs w:val="24"/>
        </w:rPr>
      </w:pPr>
    </w:p>
    <w:p w:rsidR="00CC5663" w:rsidRDefault="00CC5663" w:rsidP="006A68A4">
      <w:pPr>
        <w:spacing w:line="264" w:lineRule="auto"/>
        <w:contextualSpacing/>
        <w:jc w:val="both"/>
        <w:rPr>
          <w:rFonts w:asciiTheme="majorHAnsi" w:hAnsiTheme="majorHAnsi"/>
          <w:b/>
          <w:sz w:val="24"/>
          <w:szCs w:val="24"/>
        </w:rPr>
      </w:pPr>
    </w:p>
    <w:p w:rsidR="00CC5663" w:rsidRDefault="00CC5663" w:rsidP="006A68A4">
      <w:pPr>
        <w:spacing w:line="264" w:lineRule="auto"/>
        <w:contextualSpacing/>
        <w:jc w:val="both"/>
        <w:rPr>
          <w:rFonts w:asciiTheme="majorHAnsi" w:hAnsiTheme="majorHAnsi"/>
          <w:b/>
          <w:sz w:val="24"/>
          <w:szCs w:val="24"/>
        </w:rPr>
      </w:pPr>
    </w:p>
    <w:p w:rsidR="006A68A4" w:rsidRPr="001913F1" w:rsidRDefault="006A68A4" w:rsidP="006A68A4">
      <w:pPr>
        <w:spacing w:line="264" w:lineRule="auto"/>
        <w:contextualSpacing/>
        <w:jc w:val="both"/>
        <w:rPr>
          <w:rFonts w:asciiTheme="majorHAnsi" w:hAnsiTheme="majorHAnsi"/>
          <w:b/>
          <w:sz w:val="28"/>
          <w:szCs w:val="24"/>
          <w:u w:val="single"/>
        </w:rPr>
      </w:pPr>
      <w:r w:rsidRPr="001913F1">
        <w:rPr>
          <w:rFonts w:asciiTheme="majorHAnsi" w:hAnsiTheme="majorHAnsi"/>
          <w:b/>
          <w:sz w:val="28"/>
          <w:szCs w:val="24"/>
          <w:u w:val="single"/>
        </w:rPr>
        <w:lastRenderedPageBreak/>
        <w:t xml:space="preserve">Urban Health Financing, Phasing and Governance: Review of Published Articles </w:t>
      </w:r>
    </w:p>
    <w:p w:rsidR="00CC5663" w:rsidRDefault="00CC5663" w:rsidP="006A68A4">
      <w:pPr>
        <w:spacing w:line="264" w:lineRule="auto"/>
        <w:contextualSpacing/>
        <w:jc w:val="both"/>
        <w:rPr>
          <w:rFonts w:asciiTheme="majorHAnsi" w:hAnsiTheme="majorHAnsi" w:cstheme="minorHAnsi"/>
          <w:b/>
          <w:sz w:val="24"/>
          <w:szCs w:val="24"/>
        </w:rPr>
      </w:pPr>
    </w:p>
    <w:p w:rsidR="006A68A4" w:rsidRDefault="006A68A4" w:rsidP="006A68A4">
      <w:pPr>
        <w:spacing w:line="264" w:lineRule="auto"/>
        <w:contextualSpacing/>
        <w:jc w:val="both"/>
        <w:rPr>
          <w:rFonts w:asciiTheme="majorHAnsi" w:hAnsiTheme="majorHAnsi" w:cstheme="minorHAnsi"/>
          <w:sz w:val="24"/>
          <w:szCs w:val="24"/>
        </w:rPr>
      </w:pPr>
      <w:r w:rsidRPr="006A68A4">
        <w:rPr>
          <w:rFonts w:asciiTheme="majorHAnsi" w:hAnsiTheme="majorHAnsi" w:cstheme="minorHAnsi"/>
          <w:b/>
          <w:sz w:val="24"/>
          <w:szCs w:val="24"/>
        </w:rPr>
        <w:t xml:space="preserve">Background: </w:t>
      </w:r>
      <w:r w:rsidRPr="006A68A4">
        <w:rPr>
          <w:rFonts w:asciiTheme="majorHAnsi" w:hAnsiTheme="majorHAnsi" w:cstheme="minorHAnsi"/>
          <w:sz w:val="24"/>
          <w:szCs w:val="24"/>
        </w:rPr>
        <w:t xml:space="preserve">In order to effectively address the health concerns of the urban poor population, the Ministry proposes to launch a National Urban Health Mission (NUHM) with the mandate of providing accessible and affordable health services which address the needs of the most vulnerable population of urban areas. Its major objective is to reduce the financial burden of health care through improved financing techniques. Therefore, this </w:t>
      </w:r>
      <w:r w:rsidR="00CC5663">
        <w:rPr>
          <w:rFonts w:asciiTheme="majorHAnsi" w:hAnsiTheme="majorHAnsi" w:cstheme="minorHAnsi"/>
          <w:sz w:val="24"/>
          <w:szCs w:val="24"/>
        </w:rPr>
        <w:t>document</w:t>
      </w:r>
      <w:r w:rsidRPr="006A68A4">
        <w:rPr>
          <w:rFonts w:asciiTheme="majorHAnsi" w:hAnsiTheme="majorHAnsi" w:cstheme="minorHAnsi"/>
          <w:sz w:val="24"/>
          <w:szCs w:val="24"/>
        </w:rPr>
        <w:t xml:space="preserve"> attempts to bring about some of the critical questions pertaining to the financing, phasing and governance issues for providing access to the affordable and quality care to the urban population through roll out of National Urban Health Mission.  More specifically, the areas which are addressed in this paper are:</w:t>
      </w:r>
    </w:p>
    <w:p w:rsidR="00CC5663" w:rsidRPr="006A68A4" w:rsidRDefault="00CC5663" w:rsidP="006A68A4">
      <w:pPr>
        <w:spacing w:line="264" w:lineRule="auto"/>
        <w:contextualSpacing/>
        <w:jc w:val="both"/>
        <w:rPr>
          <w:rFonts w:asciiTheme="majorHAnsi" w:hAnsiTheme="majorHAnsi" w:cstheme="minorHAnsi"/>
          <w:sz w:val="24"/>
          <w:szCs w:val="24"/>
        </w:rPr>
      </w:pPr>
    </w:p>
    <w:p w:rsidR="006A68A4" w:rsidRDefault="00CC5663" w:rsidP="006A68A4">
      <w:pPr>
        <w:spacing w:line="264" w:lineRule="auto"/>
        <w:contextualSpacing/>
        <w:jc w:val="both"/>
        <w:rPr>
          <w:rFonts w:asciiTheme="majorHAnsi" w:hAnsiTheme="majorHAnsi"/>
          <w:b/>
          <w:sz w:val="24"/>
          <w:szCs w:val="24"/>
        </w:rPr>
      </w:pPr>
      <w:r>
        <w:rPr>
          <w:rFonts w:asciiTheme="majorHAnsi" w:hAnsiTheme="majorHAnsi"/>
          <w:b/>
          <w:sz w:val="24"/>
          <w:szCs w:val="24"/>
        </w:rPr>
        <w:t xml:space="preserve">TOR Question 1: </w:t>
      </w:r>
      <w:r w:rsidR="006A68A4" w:rsidRPr="006A68A4">
        <w:rPr>
          <w:rFonts w:asciiTheme="majorHAnsi" w:hAnsiTheme="majorHAnsi"/>
          <w:b/>
          <w:sz w:val="24"/>
          <w:szCs w:val="24"/>
        </w:rPr>
        <w:t>Should primary and secondary health services for targeted urban populations be provided at cost, subsidized or free?</w:t>
      </w:r>
    </w:p>
    <w:p w:rsidR="00CC5663" w:rsidRPr="006A68A4" w:rsidRDefault="00CC5663" w:rsidP="006A68A4">
      <w:pPr>
        <w:spacing w:line="264" w:lineRule="auto"/>
        <w:contextualSpacing/>
        <w:jc w:val="both"/>
        <w:rPr>
          <w:rFonts w:asciiTheme="majorHAnsi" w:hAnsiTheme="majorHAnsi"/>
          <w:b/>
          <w:sz w:val="24"/>
          <w:szCs w:val="24"/>
        </w:rPr>
      </w:pPr>
    </w:p>
    <w:p w:rsidR="006A68A4" w:rsidRDefault="006A68A4" w:rsidP="006A68A4">
      <w:pPr>
        <w:spacing w:line="264" w:lineRule="auto"/>
        <w:contextualSpacing/>
        <w:jc w:val="both"/>
        <w:rPr>
          <w:rFonts w:asciiTheme="majorHAnsi" w:hAnsiTheme="majorHAnsi" w:cstheme="minorHAnsi"/>
          <w:sz w:val="24"/>
          <w:szCs w:val="24"/>
        </w:rPr>
      </w:pPr>
      <w:r w:rsidRPr="006A68A4">
        <w:rPr>
          <w:rFonts w:asciiTheme="majorHAnsi" w:hAnsiTheme="majorHAnsi" w:cstheme="minorHAnsi"/>
          <w:sz w:val="24"/>
          <w:szCs w:val="24"/>
        </w:rPr>
        <w:t xml:space="preserve">Issue of the </w:t>
      </w:r>
      <w:r w:rsidRPr="006A68A4">
        <w:rPr>
          <w:rFonts w:asciiTheme="majorHAnsi" w:hAnsiTheme="majorHAnsi" w:cstheme="minorHAnsi"/>
          <w:sz w:val="24"/>
          <w:szCs w:val="24"/>
          <w:lang w:val="en-IN"/>
        </w:rPr>
        <w:t>provision of primary and secondary hea</w:t>
      </w:r>
      <w:r w:rsidR="00CC5663">
        <w:rPr>
          <w:rFonts w:asciiTheme="majorHAnsi" w:hAnsiTheme="majorHAnsi" w:cstheme="minorHAnsi"/>
          <w:sz w:val="24"/>
          <w:szCs w:val="24"/>
          <w:lang w:val="en-IN"/>
        </w:rPr>
        <w:t>l</w:t>
      </w:r>
      <w:r w:rsidRPr="006A68A4">
        <w:rPr>
          <w:rFonts w:asciiTheme="majorHAnsi" w:hAnsiTheme="majorHAnsi" w:cstheme="minorHAnsi"/>
          <w:sz w:val="24"/>
          <w:szCs w:val="24"/>
          <w:lang w:val="en-IN"/>
        </w:rPr>
        <w:t xml:space="preserve">th services for targeted urban populations at cost, subsidized or free has been debated quite extensively in the literature. As the services are been organized for the most vulnerable sections of the society such as </w:t>
      </w:r>
      <w:r w:rsidRPr="006A68A4">
        <w:rPr>
          <w:rFonts w:asciiTheme="majorHAnsi" w:hAnsiTheme="majorHAnsi" w:cstheme="minorHAnsi"/>
          <w:sz w:val="24"/>
          <w:szCs w:val="24"/>
        </w:rPr>
        <w:t xml:space="preserve">homeless, rag-pickers, street children, rickshaw pullers, construction and brick and lime kiln workers, sex workers, and other temporary migrants, feasibility of collecting even smaller user charges from the targeted urban populations need be considered very carefully. </w:t>
      </w:r>
    </w:p>
    <w:p w:rsidR="00CC5663" w:rsidRPr="006A68A4" w:rsidRDefault="00CC5663" w:rsidP="006A68A4">
      <w:pPr>
        <w:spacing w:line="264" w:lineRule="auto"/>
        <w:contextualSpacing/>
        <w:jc w:val="both"/>
        <w:rPr>
          <w:rFonts w:asciiTheme="majorHAnsi" w:hAnsiTheme="majorHAnsi" w:cstheme="minorHAnsi"/>
          <w:sz w:val="24"/>
          <w:szCs w:val="24"/>
        </w:rPr>
      </w:pPr>
    </w:p>
    <w:p w:rsidR="006A68A4" w:rsidRPr="006A68A4" w:rsidRDefault="006A68A4" w:rsidP="006A68A4">
      <w:pPr>
        <w:spacing w:line="264" w:lineRule="auto"/>
        <w:contextualSpacing/>
        <w:jc w:val="both"/>
        <w:rPr>
          <w:rFonts w:asciiTheme="majorHAnsi" w:hAnsiTheme="majorHAnsi"/>
          <w:color w:val="000000"/>
          <w:sz w:val="24"/>
          <w:szCs w:val="24"/>
        </w:rPr>
      </w:pPr>
      <w:r w:rsidRPr="006A68A4">
        <w:rPr>
          <w:rFonts w:asciiTheme="majorHAnsi" w:hAnsiTheme="majorHAnsi"/>
          <w:color w:val="000000"/>
          <w:sz w:val="24"/>
          <w:szCs w:val="24"/>
        </w:rPr>
        <w:t>User fees were introduced in many low- and middle-income countries in the 1980s with the support of UNICEF and the World Bank. A number of reasons were given for the introduction of these fees. One argument is that user fees are expected to stop people from seeking unnecessary health care. They are also seen as a way to raise extra funds that can be used to improve the quality of health services. These extra funds can also be used to expand health services and ensure that the whole population gets access to health care.</w:t>
      </w:r>
    </w:p>
    <w:p w:rsidR="006A68A4" w:rsidRDefault="006A68A4" w:rsidP="006A68A4">
      <w:pPr>
        <w:spacing w:line="264" w:lineRule="auto"/>
        <w:contextualSpacing/>
        <w:jc w:val="both"/>
        <w:rPr>
          <w:rFonts w:asciiTheme="majorHAnsi" w:hAnsiTheme="majorHAnsi"/>
          <w:color w:val="000000"/>
          <w:sz w:val="24"/>
          <w:szCs w:val="24"/>
        </w:rPr>
      </w:pPr>
      <w:r w:rsidRPr="006A68A4">
        <w:rPr>
          <w:rFonts w:asciiTheme="majorHAnsi" w:hAnsiTheme="majorHAnsi"/>
          <w:color w:val="000000"/>
          <w:sz w:val="24"/>
          <w:szCs w:val="24"/>
        </w:rPr>
        <w:t>Critics have, however, argued that the introduction of user fees prevents poor people from using necessary health services. Recently, several studies have advocated the removal of user fees, especially for primary care.</w:t>
      </w:r>
    </w:p>
    <w:p w:rsidR="00CE4575" w:rsidRPr="006A68A4" w:rsidRDefault="00CE4575" w:rsidP="006A68A4">
      <w:pPr>
        <w:spacing w:line="264" w:lineRule="auto"/>
        <w:contextualSpacing/>
        <w:jc w:val="both"/>
        <w:rPr>
          <w:rFonts w:asciiTheme="majorHAnsi" w:hAnsiTheme="majorHAnsi"/>
          <w:color w:val="000000"/>
          <w:sz w:val="24"/>
          <w:szCs w:val="24"/>
        </w:rPr>
      </w:pPr>
    </w:p>
    <w:p w:rsid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color w:val="000000"/>
          <w:sz w:val="24"/>
          <w:szCs w:val="24"/>
        </w:rPr>
        <w:t xml:space="preserve">A dialogue on health sector development policy between the World Bank and the Government of India started in 1992. Finally, the World Bank had been catalytic in setting up a framework for introducing user charge policies and practices in the four States in India where the health system project was placed. Each of the four States, Andhra Pradesh, Karnataka, Punjab and West Bengal, adopted a system of user charges at the secondary level hospitals that continue to subsidise the cost to the patients. It implies that the patients pay only a part of the costs of health care services. According to a study, these States are </w:t>
      </w:r>
      <w:r w:rsidRPr="006A68A4">
        <w:rPr>
          <w:rFonts w:asciiTheme="majorHAnsi" w:hAnsiTheme="majorHAnsi"/>
          <w:color w:val="000000"/>
          <w:sz w:val="24"/>
          <w:szCs w:val="24"/>
        </w:rPr>
        <w:lastRenderedPageBreak/>
        <w:t xml:space="preserve">improving the mechanisms for revenue collection. However, study by Prinja et al (2011) on ‘effect of the user charges on service utilization and equity’ in Haryana reveals that </w:t>
      </w:r>
      <w:r w:rsidRPr="006A68A4">
        <w:rPr>
          <w:rFonts w:asciiTheme="majorHAnsi" w:hAnsiTheme="majorHAnsi"/>
          <w:sz w:val="24"/>
          <w:szCs w:val="24"/>
        </w:rPr>
        <w:t>during 2000 and 2006 when, hospital admissions declined by 23.8 per cent in Yamuna Nagar district where user charges had been introduced under IPP project of World bank compared to an almost static hospitalization rate in Rohtak district which did not have user charges (P&lt;0.01). Study also reported higher prevalence of catastrophic health expenditure in public sector institutions with user charges (48%) compared to those without user charges (35.4%) (P&lt;0.001).What is critical to notice here is that even without user charges, prevalence of catastrophic health expenditure in public sector institutions was 35.4% which is quite high.</w:t>
      </w:r>
    </w:p>
    <w:p w:rsidR="00CE4575" w:rsidRPr="006A68A4" w:rsidRDefault="00CE4575" w:rsidP="006A68A4">
      <w:pPr>
        <w:spacing w:line="264" w:lineRule="auto"/>
        <w:contextualSpacing/>
        <w:jc w:val="both"/>
        <w:rPr>
          <w:rFonts w:asciiTheme="majorHAnsi" w:hAnsiTheme="majorHAnsi"/>
          <w:sz w:val="24"/>
          <w:szCs w:val="24"/>
        </w:rPr>
      </w:pPr>
    </w:p>
    <w:p w:rsidR="006A68A4" w:rsidRDefault="006A68A4" w:rsidP="006A68A4">
      <w:pPr>
        <w:spacing w:line="264" w:lineRule="auto"/>
        <w:contextualSpacing/>
        <w:jc w:val="both"/>
        <w:rPr>
          <w:rFonts w:asciiTheme="majorHAnsi" w:hAnsiTheme="majorHAnsi"/>
          <w:color w:val="000000"/>
          <w:sz w:val="24"/>
          <w:szCs w:val="24"/>
        </w:rPr>
      </w:pPr>
      <w:r w:rsidRPr="006A68A4">
        <w:rPr>
          <w:rFonts w:asciiTheme="majorHAnsi" w:hAnsiTheme="majorHAnsi"/>
          <w:color w:val="000000"/>
          <w:sz w:val="24"/>
          <w:szCs w:val="24"/>
        </w:rPr>
        <w:t xml:space="preserve">User fees were introduced in secondary hospitals of Maharashtra as part of the reform process supported by the World Bank. According to the report of NCMH (2010), user fees were raised sharply in Maharashtra in 1999 and in 2001. The average fee paid per patient in the 136 health facilities doubled between 2000 and 2001, particularly in district and sub-district hospitals with 100 beds. However, the overall utilization declined between 2000 and 2001 for outpatient visits and inpatient care in all the four categories of facilities, and the share of the poor in total utilization also fell. Unfortunately, recorded data on the utilization by below poverty line (BPL) families were incomplete and unreliable. Utilization by the poor may have declined for the following reasons: First, revenues from user fees in Maharashtra have largely remained unutilized and, therefore, have not contributed to quality improvements. Underutilization has partly been the result of government orders that have frozen these funds owing to fears of misappropriation. Interestingly, this freeze on fund use has left the collection of user fees unaffected, so that whereas the deterrent effect on utilization of user charges would have remained, it is unlikely that the quality of care increased. </w:t>
      </w:r>
    </w:p>
    <w:p w:rsidR="00CE4575" w:rsidRPr="006A68A4" w:rsidRDefault="00CE4575" w:rsidP="006A68A4">
      <w:pPr>
        <w:spacing w:line="264" w:lineRule="auto"/>
        <w:contextualSpacing/>
        <w:jc w:val="both"/>
        <w:rPr>
          <w:rFonts w:asciiTheme="majorHAnsi" w:hAnsiTheme="majorHAnsi"/>
          <w:color w:val="000000"/>
          <w:sz w:val="24"/>
          <w:szCs w:val="24"/>
        </w:rPr>
      </w:pPr>
    </w:p>
    <w:p w:rsidR="006A68A4" w:rsidRDefault="006A68A4" w:rsidP="006A68A4">
      <w:pPr>
        <w:spacing w:line="264" w:lineRule="auto"/>
        <w:contextualSpacing/>
        <w:jc w:val="both"/>
        <w:rPr>
          <w:rFonts w:asciiTheme="majorHAnsi" w:hAnsiTheme="majorHAnsi"/>
          <w:color w:val="000000"/>
          <w:sz w:val="24"/>
          <w:szCs w:val="24"/>
        </w:rPr>
      </w:pPr>
      <w:r w:rsidRPr="006A68A4">
        <w:rPr>
          <w:rFonts w:asciiTheme="majorHAnsi" w:hAnsiTheme="majorHAnsi"/>
          <w:color w:val="000000"/>
          <w:sz w:val="24"/>
          <w:szCs w:val="24"/>
        </w:rPr>
        <w:t>Second, the exemption scheme for the poor may not have worked as envisaged. There is evidence from Punjab (another wealthy state with health reforms initiation with World Bank support) that the process for obtaining exemption cards was time-consuming and bureaucratic, making it virtually impossible for a poor person to obtain the benefits associated with such cards. Without quality improvements and without exemptions, it follows that utilization by the poor must have declined.Another more likely outcome of this is that th</w:t>
      </w:r>
      <w:r w:rsidR="00957771">
        <w:rPr>
          <w:rFonts w:asciiTheme="majorHAnsi" w:hAnsiTheme="majorHAnsi"/>
          <w:color w:val="000000"/>
          <w:sz w:val="24"/>
          <w:szCs w:val="24"/>
        </w:rPr>
        <w:t xml:space="preserve">e poor either shift to self-care </w:t>
      </w:r>
      <w:r w:rsidRPr="006A68A4">
        <w:rPr>
          <w:rFonts w:asciiTheme="majorHAnsi" w:hAnsiTheme="majorHAnsi"/>
          <w:color w:val="000000"/>
          <w:sz w:val="24"/>
          <w:szCs w:val="24"/>
        </w:rPr>
        <w:t>or to lower quality providers.</w:t>
      </w:r>
    </w:p>
    <w:p w:rsidR="00CE4575" w:rsidRPr="006A68A4" w:rsidRDefault="00CE4575" w:rsidP="006A68A4">
      <w:pPr>
        <w:spacing w:line="264" w:lineRule="auto"/>
        <w:contextualSpacing/>
        <w:jc w:val="both"/>
        <w:rPr>
          <w:rFonts w:asciiTheme="majorHAnsi" w:hAnsiTheme="majorHAnsi"/>
          <w:color w:val="000000"/>
          <w:sz w:val="24"/>
          <w:szCs w:val="24"/>
        </w:rPr>
      </w:pPr>
    </w:p>
    <w:p w:rsid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b/>
          <w:sz w:val="24"/>
          <w:szCs w:val="24"/>
        </w:rPr>
        <w:t xml:space="preserve">Implications of cost on equity: </w:t>
      </w:r>
      <w:r w:rsidR="003A5924">
        <w:rPr>
          <w:rFonts w:asciiTheme="majorHAnsi" w:hAnsiTheme="majorHAnsi"/>
          <w:sz w:val="24"/>
          <w:szCs w:val="24"/>
        </w:rPr>
        <w:t>Providing</w:t>
      </w:r>
      <w:r w:rsidRPr="006A68A4">
        <w:rPr>
          <w:rFonts w:asciiTheme="majorHAnsi" w:hAnsiTheme="majorHAnsi"/>
          <w:sz w:val="24"/>
          <w:szCs w:val="24"/>
        </w:rPr>
        <w:t xml:space="preserve"> subsidized care under any exemption/subsidy mechanisms </w:t>
      </w:r>
      <w:r w:rsidR="003A5924">
        <w:rPr>
          <w:rFonts w:asciiTheme="majorHAnsi" w:hAnsiTheme="majorHAnsi"/>
          <w:sz w:val="24"/>
          <w:szCs w:val="24"/>
        </w:rPr>
        <w:t>is</w:t>
      </w:r>
      <w:r w:rsidRPr="006A68A4">
        <w:rPr>
          <w:rFonts w:asciiTheme="majorHAnsi" w:hAnsiTheme="majorHAnsi"/>
          <w:sz w:val="24"/>
          <w:szCs w:val="24"/>
        </w:rPr>
        <w:t xml:space="preserve"> questionable on their effectiveness in promoting equity and ensuring quality care. Although our government has policy to protect the poor, the frameworks on whom to exempt are often left to health facilities and local bodies. Moreover, the subsidized provision of the care leads to the targeting those who bear the stigma of being marginalized or produce the proof of inability to pay user charges. Even if the targeted groups can be </w:t>
      </w:r>
      <w:r w:rsidRPr="006A68A4">
        <w:rPr>
          <w:rFonts w:asciiTheme="majorHAnsi" w:hAnsiTheme="majorHAnsi"/>
          <w:sz w:val="24"/>
          <w:szCs w:val="24"/>
        </w:rPr>
        <w:lastRenderedPageBreak/>
        <w:t>identified accurately, attitudes/behaviors of those involved in granting the subsidies as well as the patients who may not choose to take advantage of exemption options, due to fear</w:t>
      </w:r>
      <w:r w:rsidR="00957771">
        <w:rPr>
          <w:rFonts w:asciiTheme="majorHAnsi" w:hAnsiTheme="majorHAnsi"/>
          <w:sz w:val="24"/>
          <w:szCs w:val="24"/>
        </w:rPr>
        <w:t xml:space="preserve"> of stigmatization or other non-</w:t>
      </w:r>
      <w:r w:rsidRPr="006A68A4">
        <w:rPr>
          <w:rFonts w:asciiTheme="majorHAnsi" w:hAnsiTheme="majorHAnsi"/>
          <w:sz w:val="24"/>
          <w:szCs w:val="24"/>
        </w:rPr>
        <w:t xml:space="preserve">monetary costs of access, such as socio-cultural barriers associated with age, gender and race will hamper the effectiveness of the exemption schemes or subsidies. </w:t>
      </w:r>
    </w:p>
    <w:p w:rsidR="0076468F" w:rsidRPr="006A68A4" w:rsidRDefault="0076468F" w:rsidP="006A68A4">
      <w:pPr>
        <w:spacing w:line="264" w:lineRule="auto"/>
        <w:contextualSpacing/>
        <w:jc w:val="both"/>
        <w:rPr>
          <w:rFonts w:asciiTheme="majorHAnsi" w:hAnsiTheme="majorHAnsi"/>
          <w:sz w:val="24"/>
          <w:szCs w:val="24"/>
        </w:rPr>
      </w:pPr>
    </w:p>
    <w:p w:rsid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 xml:space="preserve">On revenue raising potential of user fees, the study by Sapheri et al (2012) argues that the revenue raising potential of the user charges has proven to be mixed in practice and generally well below the initially 10-20 percent of total government recurrent health expenditure. Collected user fees are rarely fully retained locally and where they are retained there are few institutional arrangements in place to ensure that these resources are used effectively. </w:t>
      </w:r>
    </w:p>
    <w:p w:rsidR="0076468F" w:rsidRPr="006A68A4" w:rsidRDefault="0076468F" w:rsidP="006A68A4">
      <w:pPr>
        <w:spacing w:line="264" w:lineRule="auto"/>
        <w:contextualSpacing/>
        <w:jc w:val="both"/>
        <w:rPr>
          <w:rFonts w:asciiTheme="majorHAnsi" w:hAnsiTheme="majorHAnsi"/>
          <w:sz w:val="24"/>
          <w:szCs w:val="24"/>
        </w:rPr>
      </w:pPr>
    </w:p>
    <w:p w:rsidR="006A68A4" w:rsidRP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 xml:space="preserve">Moreover, under the NUHM, it is proposed that there would be additional earmarked budgets (apart from their routine municipal budgets) which will be released to every local body to run the primary and secondary healthcare services. There is no guarantee that the fee revenues which would be raised through demand side cost sharing would supplement rather than reduce the existing budgetary allocations of the municipals to the health sector. </w:t>
      </w:r>
    </w:p>
    <w:p w:rsidR="006A68A4" w:rsidRDefault="006A68A4" w:rsidP="006A68A4">
      <w:pPr>
        <w:spacing w:line="264" w:lineRule="auto"/>
        <w:contextualSpacing/>
        <w:jc w:val="both"/>
        <w:rPr>
          <w:rFonts w:asciiTheme="majorHAnsi" w:hAnsiTheme="majorHAnsi" w:cs="Arial"/>
          <w:sz w:val="24"/>
          <w:szCs w:val="24"/>
          <w:shd w:val="clear" w:color="auto" w:fill="FFFFFF"/>
        </w:rPr>
      </w:pPr>
      <w:r w:rsidRPr="006A68A4">
        <w:rPr>
          <w:rFonts w:asciiTheme="majorHAnsi" w:hAnsiTheme="majorHAnsi"/>
          <w:sz w:val="24"/>
          <w:szCs w:val="24"/>
        </w:rPr>
        <w:t xml:space="preserve">Therefore, </w:t>
      </w:r>
      <w:r w:rsidRPr="006A68A4">
        <w:rPr>
          <w:rFonts w:asciiTheme="majorHAnsi" w:hAnsiTheme="majorHAnsi" w:cs="Arial"/>
          <w:sz w:val="24"/>
          <w:szCs w:val="24"/>
          <w:shd w:val="clear" w:color="auto" w:fill="FFFFFF"/>
        </w:rPr>
        <w:t>the success of the concept of user fee lies in careful examination of health care system-capacity issues, providing a support mechanism for the vulnerable and restructuring user fee policy around efficiency rather than cost-recovery mechanism.</w:t>
      </w:r>
    </w:p>
    <w:p w:rsidR="0076468F" w:rsidRPr="006A68A4" w:rsidRDefault="0076468F" w:rsidP="006A68A4">
      <w:pPr>
        <w:spacing w:line="264" w:lineRule="auto"/>
        <w:contextualSpacing/>
        <w:jc w:val="both"/>
        <w:rPr>
          <w:rFonts w:asciiTheme="majorHAnsi" w:hAnsiTheme="majorHAnsi" w:cs="Arial"/>
          <w:sz w:val="24"/>
          <w:szCs w:val="24"/>
          <w:shd w:val="clear" w:color="auto" w:fill="FFFFFF"/>
        </w:rPr>
      </w:pPr>
    </w:p>
    <w:p w:rsidR="006A68A4" w:rsidRDefault="0076468F" w:rsidP="006A68A4">
      <w:pPr>
        <w:spacing w:line="264" w:lineRule="auto"/>
        <w:contextualSpacing/>
        <w:jc w:val="both"/>
        <w:rPr>
          <w:rFonts w:asciiTheme="majorHAnsi" w:hAnsiTheme="majorHAnsi"/>
          <w:b/>
          <w:sz w:val="24"/>
          <w:szCs w:val="24"/>
        </w:rPr>
      </w:pPr>
      <w:r>
        <w:rPr>
          <w:rFonts w:asciiTheme="majorHAnsi" w:hAnsiTheme="majorHAnsi"/>
          <w:b/>
          <w:sz w:val="24"/>
          <w:szCs w:val="24"/>
        </w:rPr>
        <w:t xml:space="preserve">TOR Question 2: </w:t>
      </w:r>
      <w:r w:rsidR="006A68A4" w:rsidRPr="006A68A4">
        <w:rPr>
          <w:rFonts w:asciiTheme="majorHAnsi" w:hAnsiTheme="majorHAnsi"/>
          <w:b/>
          <w:sz w:val="24"/>
          <w:szCs w:val="24"/>
        </w:rPr>
        <w:t>What should be the modes of financing the health services guaranteed under the Health Mission?</w:t>
      </w:r>
    </w:p>
    <w:p w:rsidR="0076468F" w:rsidRPr="006A68A4" w:rsidRDefault="0076468F" w:rsidP="006A68A4">
      <w:pPr>
        <w:spacing w:line="264" w:lineRule="auto"/>
        <w:contextualSpacing/>
        <w:jc w:val="both"/>
        <w:rPr>
          <w:rFonts w:asciiTheme="majorHAnsi" w:hAnsiTheme="majorHAnsi"/>
          <w:b/>
          <w:sz w:val="24"/>
          <w:szCs w:val="24"/>
        </w:rPr>
      </w:pPr>
    </w:p>
    <w:p w:rsidR="006A68A4" w:rsidRP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 xml:space="preserve">According to the Annual Report to the People on Health (2011) by the MoHFW, ‘A desirable health financing edifice is one which not only reduces the ‘Out Of Pocket’ (OOP) expenditure on health care but also lessens the probability of any financial impoverishment while meeting healthcare needs. The type and sum of financing healthcare systems have a deep impact on equity, access and quality of healthcare services. An ideal financing mechanism for a country like India is one which: </w:t>
      </w:r>
    </w:p>
    <w:p w:rsidR="006A68A4" w:rsidRPr="006A68A4" w:rsidRDefault="006A68A4" w:rsidP="006A68A4">
      <w:pPr>
        <w:numPr>
          <w:ilvl w:val="0"/>
          <w:numId w:val="22"/>
        </w:numPr>
        <w:spacing w:line="264" w:lineRule="auto"/>
        <w:contextualSpacing/>
        <w:jc w:val="both"/>
        <w:rPr>
          <w:rFonts w:asciiTheme="majorHAnsi" w:hAnsiTheme="majorHAnsi"/>
          <w:sz w:val="24"/>
          <w:szCs w:val="24"/>
        </w:rPr>
      </w:pPr>
      <w:r w:rsidRPr="006A68A4">
        <w:rPr>
          <w:rFonts w:asciiTheme="majorHAnsi" w:hAnsiTheme="majorHAnsi"/>
          <w:sz w:val="24"/>
          <w:szCs w:val="24"/>
        </w:rPr>
        <w:t xml:space="preserve">Minimizes out of pocket payments (preventing medical impoverishment) </w:t>
      </w:r>
    </w:p>
    <w:p w:rsidR="006A68A4" w:rsidRPr="006A68A4" w:rsidRDefault="006A68A4" w:rsidP="006A68A4">
      <w:pPr>
        <w:numPr>
          <w:ilvl w:val="0"/>
          <w:numId w:val="22"/>
        </w:numPr>
        <w:spacing w:line="264" w:lineRule="auto"/>
        <w:contextualSpacing/>
        <w:jc w:val="both"/>
        <w:rPr>
          <w:rFonts w:asciiTheme="majorHAnsi" w:hAnsiTheme="majorHAnsi"/>
          <w:sz w:val="24"/>
          <w:szCs w:val="24"/>
        </w:rPr>
      </w:pPr>
      <w:r w:rsidRPr="006A68A4">
        <w:rPr>
          <w:rFonts w:asciiTheme="majorHAnsi" w:hAnsiTheme="majorHAnsi"/>
          <w:sz w:val="24"/>
          <w:szCs w:val="24"/>
        </w:rPr>
        <w:t>Ensures equity in accessing services (target is universal access and coverage)</w:t>
      </w:r>
    </w:p>
    <w:p w:rsidR="006A68A4" w:rsidRPr="006A68A4" w:rsidRDefault="006A68A4" w:rsidP="006A68A4">
      <w:pPr>
        <w:numPr>
          <w:ilvl w:val="0"/>
          <w:numId w:val="22"/>
        </w:numPr>
        <w:spacing w:line="264" w:lineRule="auto"/>
        <w:contextualSpacing/>
        <w:jc w:val="both"/>
        <w:rPr>
          <w:rFonts w:asciiTheme="majorHAnsi" w:hAnsiTheme="majorHAnsi"/>
          <w:sz w:val="24"/>
          <w:szCs w:val="24"/>
        </w:rPr>
      </w:pPr>
      <w:r w:rsidRPr="006A68A4">
        <w:rPr>
          <w:rFonts w:asciiTheme="majorHAnsi" w:hAnsiTheme="majorHAnsi"/>
          <w:sz w:val="24"/>
          <w:szCs w:val="24"/>
        </w:rPr>
        <w:t xml:space="preserve">Maximizes quality of healthcare services </w:t>
      </w:r>
    </w:p>
    <w:p w:rsid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 xml:space="preserve">In theory, healthcare financing may flow from any of these sources: General revenue; Social insurance; Private insurance; Direct out of pocket payments; Community financing. In India however, Insurance (both social and private) account for very little funding. Most of the funds flow from out of pocket payments and general tax revenue. </w:t>
      </w:r>
    </w:p>
    <w:p w:rsidR="0076468F" w:rsidRDefault="0076468F" w:rsidP="006A68A4">
      <w:pPr>
        <w:spacing w:line="264" w:lineRule="auto"/>
        <w:contextualSpacing/>
        <w:jc w:val="both"/>
        <w:rPr>
          <w:rFonts w:asciiTheme="majorHAnsi" w:hAnsiTheme="majorHAnsi"/>
          <w:sz w:val="24"/>
          <w:szCs w:val="24"/>
        </w:rPr>
      </w:pPr>
    </w:p>
    <w:p w:rsidR="0076468F" w:rsidRDefault="0076468F" w:rsidP="006A68A4">
      <w:pPr>
        <w:spacing w:line="264" w:lineRule="auto"/>
        <w:contextualSpacing/>
        <w:jc w:val="both"/>
        <w:rPr>
          <w:rFonts w:asciiTheme="majorHAnsi" w:hAnsiTheme="majorHAnsi"/>
          <w:sz w:val="24"/>
          <w:szCs w:val="24"/>
        </w:rPr>
      </w:pPr>
    </w:p>
    <w:p w:rsidR="0076468F" w:rsidRPr="006A68A4" w:rsidRDefault="0076468F" w:rsidP="006A68A4">
      <w:pPr>
        <w:spacing w:line="264" w:lineRule="auto"/>
        <w:contextualSpacing/>
        <w:jc w:val="both"/>
        <w:rPr>
          <w:rFonts w:asciiTheme="majorHAnsi" w:hAnsiTheme="majorHAnsi"/>
          <w:sz w:val="24"/>
          <w:szCs w:val="24"/>
        </w:rPr>
      </w:pPr>
    </w:p>
    <w:p w:rsidR="006A68A4" w:rsidRPr="006A68A4" w:rsidRDefault="006A68A4" w:rsidP="006A68A4">
      <w:pPr>
        <w:spacing w:line="264" w:lineRule="auto"/>
        <w:contextualSpacing/>
        <w:jc w:val="both"/>
        <w:rPr>
          <w:rFonts w:asciiTheme="majorHAnsi" w:hAnsiTheme="majorHAnsi"/>
          <w:b/>
          <w:sz w:val="24"/>
          <w:szCs w:val="24"/>
        </w:rPr>
      </w:pPr>
      <w:r w:rsidRPr="006A68A4">
        <w:rPr>
          <w:rFonts w:asciiTheme="majorHAnsi" w:hAnsiTheme="majorHAnsi"/>
          <w:b/>
          <w:sz w:val="24"/>
          <w:szCs w:val="24"/>
        </w:rPr>
        <w:lastRenderedPageBreak/>
        <w:t>Sources of Healthcare Funding in India</w:t>
      </w:r>
    </w:p>
    <w:p w:rsidR="006A68A4" w:rsidRP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 xml:space="preserve">Public expenditure on health was only 1.10% of GDP in 2008-09. Of the total health expenditure, the share of private sector was maximum with 78.05%, public sector at 19.67% and the external ﬂows contributed 2.28%. (NHA 2009). The three major sources of health financing are as follows: </w:t>
      </w:r>
    </w:p>
    <w:p w:rsidR="006A68A4" w:rsidRPr="006A68A4" w:rsidRDefault="006A68A4" w:rsidP="006A68A4">
      <w:pPr>
        <w:numPr>
          <w:ilvl w:val="0"/>
          <w:numId w:val="23"/>
        </w:numPr>
        <w:spacing w:line="264" w:lineRule="auto"/>
        <w:contextualSpacing/>
        <w:jc w:val="both"/>
        <w:rPr>
          <w:rFonts w:asciiTheme="majorHAnsi" w:hAnsiTheme="majorHAnsi"/>
          <w:sz w:val="24"/>
          <w:szCs w:val="24"/>
        </w:rPr>
      </w:pPr>
      <w:r w:rsidRPr="006A68A4">
        <w:rPr>
          <w:rFonts w:asciiTheme="majorHAnsi" w:hAnsiTheme="majorHAnsi"/>
          <w:sz w:val="24"/>
          <w:szCs w:val="24"/>
        </w:rPr>
        <w:t>Out of Pocket payments: These account for 71.13% of total health expenditure. These include fee for individual service, payments for private insurance and other modes of personal financing.  This covers expenditure on inpatient, outpatient care, family planning, and immunization etc.</w:t>
      </w:r>
    </w:p>
    <w:p w:rsidR="006A68A4" w:rsidRPr="006A68A4" w:rsidRDefault="006A68A4" w:rsidP="006A68A4">
      <w:pPr>
        <w:numPr>
          <w:ilvl w:val="0"/>
          <w:numId w:val="23"/>
        </w:numPr>
        <w:spacing w:line="264" w:lineRule="auto"/>
        <w:contextualSpacing/>
        <w:jc w:val="both"/>
        <w:rPr>
          <w:rFonts w:asciiTheme="majorHAnsi" w:hAnsiTheme="majorHAnsi"/>
          <w:sz w:val="24"/>
          <w:szCs w:val="24"/>
        </w:rPr>
      </w:pPr>
      <w:r w:rsidRPr="006A68A4">
        <w:rPr>
          <w:rFonts w:asciiTheme="majorHAnsi" w:hAnsiTheme="majorHAnsi"/>
          <w:sz w:val="24"/>
          <w:szCs w:val="24"/>
        </w:rPr>
        <w:t xml:space="preserve">Employer payment: employer based insurance has very limited scope, accounting for 1.13% of the total health expenditure The largest contributors are the Employees State Insurance Scheme and the Central Government Health Scheme. </w:t>
      </w:r>
    </w:p>
    <w:p w:rsidR="006A68A4" w:rsidRDefault="006A68A4" w:rsidP="006A68A4">
      <w:pPr>
        <w:numPr>
          <w:ilvl w:val="0"/>
          <w:numId w:val="23"/>
        </w:numPr>
        <w:spacing w:line="264" w:lineRule="auto"/>
        <w:contextualSpacing/>
        <w:jc w:val="both"/>
        <w:rPr>
          <w:rFonts w:asciiTheme="majorHAnsi" w:hAnsiTheme="majorHAnsi"/>
          <w:sz w:val="24"/>
          <w:szCs w:val="24"/>
        </w:rPr>
      </w:pPr>
      <w:r w:rsidRPr="006A68A4">
        <w:rPr>
          <w:rFonts w:asciiTheme="majorHAnsi" w:hAnsiTheme="majorHAnsi"/>
          <w:sz w:val="24"/>
          <w:szCs w:val="24"/>
        </w:rPr>
        <w:t xml:space="preserve">General Tax base: This accounts for around 20% of the fund flow, including the central, state and local levels. Central government contribution accounted for 6.78%, state governments 12% and local bodies contributed around 1% in 2004-05. (NHA 2009). Even the publicly financed health insurance schemes such as Aarogyashree and RSBY are also a sub-component of this source. </w:t>
      </w:r>
    </w:p>
    <w:p w:rsidR="0076468F" w:rsidRPr="006A68A4" w:rsidRDefault="0076468F" w:rsidP="0076468F">
      <w:pPr>
        <w:spacing w:line="264" w:lineRule="auto"/>
        <w:ind w:left="720"/>
        <w:contextualSpacing/>
        <w:jc w:val="both"/>
        <w:rPr>
          <w:rFonts w:asciiTheme="majorHAnsi" w:hAnsiTheme="majorHAnsi"/>
          <w:sz w:val="24"/>
          <w:szCs w:val="24"/>
        </w:rPr>
      </w:pPr>
    </w:p>
    <w:p w:rsid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 xml:space="preserve">The following table details the expenditure under each head, as reported by National Health Accounts 2009. </w:t>
      </w:r>
    </w:p>
    <w:p w:rsidR="0076468F" w:rsidRPr="006A68A4" w:rsidRDefault="0076468F" w:rsidP="006A68A4">
      <w:pPr>
        <w:spacing w:line="264" w:lineRule="auto"/>
        <w:contextualSpacing/>
        <w:jc w:val="both"/>
        <w:rPr>
          <w:rFonts w:asciiTheme="majorHAnsi" w:hAnsiTheme="majorHAnsi"/>
          <w:sz w:val="24"/>
          <w:szCs w:val="24"/>
        </w:rPr>
      </w:pPr>
    </w:p>
    <w:p w:rsidR="006A68A4" w:rsidRP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noProof/>
          <w:sz w:val="24"/>
          <w:szCs w:val="24"/>
        </w:rPr>
        <w:drawing>
          <wp:inline distT="0" distB="0" distL="0" distR="0">
            <wp:extent cx="5884863" cy="3209925"/>
            <wp:effectExtent l="0" t="0" r="190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8975" t="15964" r="16987" b="12201"/>
                    <a:stretch/>
                  </pic:blipFill>
                  <pic:spPr bwMode="auto">
                    <a:xfrm>
                      <a:off x="0" y="0"/>
                      <a:ext cx="5884863" cy="32099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A68A4" w:rsidRP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Table 1: Health Expenditure by Financing Sources (2004-05)</w:t>
      </w:r>
    </w:p>
    <w:p w:rsid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Source: National Health Accounts 2009</w:t>
      </w:r>
    </w:p>
    <w:p w:rsidR="0076468F" w:rsidRPr="006A68A4" w:rsidRDefault="0076468F" w:rsidP="006A68A4">
      <w:pPr>
        <w:spacing w:line="264" w:lineRule="auto"/>
        <w:contextualSpacing/>
        <w:jc w:val="both"/>
        <w:rPr>
          <w:rFonts w:asciiTheme="majorHAnsi" w:hAnsiTheme="majorHAnsi"/>
          <w:sz w:val="24"/>
          <w:szCs w:val="24"/>
        </w:rPr>
      </w:pPr>
    </w:p>
    <w:p w:rsid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lastRenderedPageBreak/>
        <w:t>The breakup of total health expenditure shows that around 78 percent of the expenditure was financed by private entities with households accounting for the major share (71 percent). About 20 per cent of the total health expenditure was financed by the Central Government, State Government and local bodies while external flows accounted for 2 percent of the total health expenditure. Breakup of total health expenditure between public and private providers show that private providers of health in 2004-05 accounted for about 77 per cent of health expenditure incurred.</w:t>
      </w:r>
    </w:p>
    <w:p w:rsidR="0076468F" w:rsidRPr="006A68A4" w:rsidRDefault="0076468F" w:rsidP="006A68A4">
      <w:pPr>
        <w:spacing w:line="264" w:lineRule="auto"/>
        <w:contextualSpacing/>
        <w:jc w:val="both"/>
        <w:rPr>
          <w:rFonts w:asciiTheme="majorHAnsi" w:hAnsiTheme="majorHAnsi"/>
          <w:sz w:val="24"/>
          <w:szCs w:val="24"/>
        </w:rPr>
      </w:pPr>
    </w:p>
    <w:p w:rsidR="006A68A4" w:rsidRP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 xml:space="preserve">The high out of pocket expenditure is a major concern in India. The high Of the total out of pocket expenditure by household in 2004–05, Rs. 578,998 million constituting 62% was spent by the rural households for availing different health care services and the balance 38% was by the urban households.(NHA 2009) Such high OOP lead to medical impoverishment in both urban and rural areas. Thus the aim of the NUHM financing model is to shift the funding flow from out of pocket payments to insurance to general tax base. </w:t>
      </w:r>
    </w:p>
    <w:p w:rsidR="006A68A4" w:rsidRPr="006A68A4" w:rsidRDefault="006A68A4" w:rsidP="006A68A4">
      <w:pPr>
        <w:spacing w:line="264" w:lineRule="auto"/>
        <w:contextualSpacing/>
        <w:jc w:val="both"/>
        <w:rPr>
          <w:rFonts w:asciiTheme="majorHAnsi" w:hAnsiTheme="majorHAnsi"/>
          <w:sz w:val="24"/>
          <w:szCs w:val="24"/>
        </w:rPr>
      </w:pPr>
    </w:p>
    <w:p w:rsidR="006A68A4" w:rsidRPr="006A68A4" w:rsidRDefault="006A68A4" w:rsidP="006A68A4">
      <w:pPr>
        <w:spacing w:line="264" w:lineRule="auto"/>
        <w:contextualSpacing/>
        <w:jc w:val="center"/>
        <w:rPr>
          <w:rFonts w:asciiTheme="majorHAnsi" w:hAnsiTheme="majorHAnsi"/>
          <w:sz w:val="24"/>
          <w:szCs w:val="24"/>
        </w:rPr>
      </w:pPr>
      <w:r w:rsidRPr="006A68A4">
        <w:rPr>
          <w:rFonts w:asciiTheme="majorHAnsi" w:hAnsiTheme="majorHAnsi"/>
          <w:noProof/>
          <w:sz w:val="24"/>
          <w:szCs w:val="24"/>
        </w:rPr>
        <w:drawing>
          <wp:inline distT="0" distB="0" distL="0" distR="0">
            <wp:extent cx="4572000" cy="2552700"/>
            <wp:effectExtent l="0" t="0" r="19050" b="19050"/>
            <wp:docPr id="1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Fig 1. Composition of Out of Pocket Expenditure in Private Inpatient care (national averages), in percentage Source: National Health Accounts 2009</w:t>
      </w:r>
    </w:p>
    <w:p w:rsidR="0076468F" w:rsidRPr="006A68A4" w:rsidRDefault="0076468F" w:rsidP="006A68A4">
      <w:pPr>
        <w:spacing w:line="264" w:lineRule="auto"/>
        <w:contextualSpacing/>
        <w:jc w:val="both"/>
        <w:rPr>
          <w:rFonts w:asciiTheme="majorHAnsi" w:hAnsiTheme="majorHAnsi"/>
          <w:sz w:val="24"/>
          <w:szCs w:val="24"/>
        </w:rPr>
      </w:pPr>
    </w:p>
    <w:p w:rsid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 xml:space="preserve">A major portion of out of pocket expenditure in private institutions is spent on drugs and diagnostic tests (almost 50%). In public institutions inpatient care, the expenditure on drugs is 62% with an additional expenditure on 15% on diagnostic tests. </w:t>
      </w:r>
    </w:p>
    <w:p w:rsidR="0076468F" w:rsidRPr="006A68A4" w:rsidRDefault="0076468F" w:rsidP="006A68A4">
      <w:pPr>
        <w:spacing w:line="264" w:lineRule="auto"/>
        <w:contextualSpacing/>
        <w:jc w:val="both"/>
        <w:rPr>
          <w:rFonts w:asciiTheme="majorHAnsi" w:hAnsiTheme="majorHAnsi"/>
          <w:sz w:val="24"/>
          <w:szCs w:val="24"/>
        </w:rPr>
      </w:pPr>
    </w:p>
    <w:p w:rsidR="006A68A4" w:rsidRPr="006A68A4" w:rsidRDefault="006A68A4" w:rsidP="006A68A4">
      <w:pPr>
        <w:spacing w:line="264" w:lineRule="auto"/>
        <w:contextualSpacing/>
        <w:jc w:val="both"/>
        <w:rPr>
          <w:rFonts w:asciiTheme="majorHAnsi" w:hAnsiTheme="majorHAnsi"/>
          <w:b/>
          <w:sz w:val="24"/>
          <w:szCs w:val="24"/>
        </w:rPr>
      </w:pPr>
      <w:r w:rsidRPr="006A68A4">
        <w:rPr>
          <w:rFonts w:asciiTheme="majorHAnsi" w:hAnsiTheme="majorHAnsi"/>
          <w:b/>
          <w:sz w:val="24"/>
          <w:szCs w:val="24"/>
        </w:rPr>
        <w:t xml:space="preserve">Paying providers </w:t>
      </w:r>
    </w:p>
    <w:p w:rsidR="006A68A4" w:rsidRP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From the providers’ perspective, payments are made in three categories:</w:t>
      </w:r>
    </w:p>
    <w:p w:rsidR="006A68A4" w:rsidRPr="006A68A4" w:rsidRDefault="006A68A4" w:rsidP="006A68A4">
      <w:pPr>
        <w:pStyle w:val="ListParagraph"/>
        <w:numPr>
          <w:ilvl w:val="0"/>
          <w:numId w:val="25"/>
        </w:numPr>
        <w:spacing w:line="264" w:lineRule="auto"/>
        <w:jc w:val="both"/>
        <w:rPr>
          <w:rFonts w:asciiTheme="majorHAnsi" w:hAnsiTheme="majorHAnsi"/>
          <w:sz w:val="24"/>
          <w:szCs w:val="24"/>
        </w:rPr>
      </w:pPr>
      <w:r w:rsidRPr="006A68A4">
        <w:rPr>
          <w:rFonts w:asciiTheme="majorHAnsi" w:hAnsiTheme="majorHAnsi"/>
          <w:sz w:val="24"/>
          <w:szCs w:val="24"/>
        </w:rPr>
        <w:t>Direct out of pocket payment: This fund usually comes directly out of pocket from the patients.</w:t>
      </w:r>
    </w:p>
    <w:p w:rsidR="006A68A4" w:rsidRPr="006A68A4" w:rsidRDefault="006A68A4" w:rsidP="006A68A4">
      <w:pPr>
        <w:pStyle w:val="ListParagraph"/>
        <w:numPr>
          <w:ilvl w:val="0"/>
          <w:numId w:val="25"/>
        </w:numPr>
        <w:spacing w:line="264" w:lineRule="auto"/>
        <w:jc w:val="both"/>
        <w:rPr>
          <w:rFonts w:asciiTheme="majorHAnsi" w:hAnsiTheme="majorHAnsi"/>
          <w:sz w:val="24"/>
          <w:szCs w:val="24"/>
        </w:rPr>
      </w:pPr>
      <w:r w:rsidRPr="006A68A4">
        <w:rPr>
          <w:rFonts w:asciiTheme="majorHAnsi" w:hAnsiTheme="majorHAnsi"/>
          <w:sz w:val="24"/>
          <w:szCs w:val="24"/>
        </w:rPr>
        <w:lastRenderedPageBreak/>
        <w:t>Insurance: This includes payment through private insurance companies, government financed insurance schemes’ with partial patient copayment, and totally public funded insurance schemes (such as Arogyasree in Andhra Pradesh)</w:t>
      </w:r>
    </w:p>
    <w:p w:rsidR="006A68A4" w:rsidRPr="006A68A4" w:rsidRDefault="006A68A4" w:rsidP="006A68A4">
      <w:pPr>
        <w:pStyle w:val="ListParagraph"/>
        <w:numPr>
          <w:ilvl w:val="0"/>
          <w:numId w:val="25"/>
        </w:numPr>
        <w:spacing w:line="264" w:lineRule="auto"/>
        <w:jc w:val="both"/>
        <w:rPr>
          <w:rFonts w:asciiTheme="majorHAnsi" w:hAnsiTheme="majorHAnsi"/>
          <w:sz w:val="24"/>
          <w:szCs w:val="24"/>
        </w:rPr>
      </w:pPr>
      <w:r w:rsidRPr="006A68A4">
        <w:rPr>
          <w:rFonts w:asciiTheme="majorHAnsi" w:hAnsiTheme="majorHAnsi"/>
          <w:sz w:val="24"/>
          <w:szCs w:val="24"/>
        </w:rPr>
        <w:t xml:space="preserve">Direct public provisioning: This involves free healthcare provided to patients through government health services. </w:t>
      </w:r>
    </w:p>
    <w:p w:rsidR="006A68A4" w:rsidRP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 xml:space="preserve">Financing by Insurance (both public and private) for 2004-05 is provided in the table below. </w:t>
      </w:r>
    </w:p>
    <w:p w:rsidR="006A68A4" w:rsidRP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noProof/>
          <w:sz w:val="24"/>
          <w:szCs w:val="24"/>
        </w:rPr>
        <w:drawing>
          <wp:inline distT="0" distB="0" distL="0" distR="0">
            <wp:extent cx="6067425" cy="1209585"/>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7212" t="36203" r="8334" b="35576"/>
                    <a:stretch/>
                  </pic:blipFill>
                  <pic:spPr bwMode="auto">
                    <a:xfrm>
                      <a:off x="0" y="0"/>
                      <a:ext cx="6067878" cy="12096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A68A4" w:rsidRP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Table 2:  Health Expenditure on Insurance 2004-05 (in Rs.)</w:t>
      </w:r>
    </w:p>
    <w:p w:rsid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Source: National Health Accounts 2009</w:t>
      </w:r>
    </w:p>
    <w:p w:rsidR="0076468F" w:rsidRPr="006A68A4" w:rsidRDefault="0076468F" w:rsidP="006A68A4">
      <w:pPr>
        <w:spacing w:line="264" w:lineRule="auto"/>
        <w:contextualSpacing/>
        <w:jc w:val="both"/>
        <w:rPr>
          <w:rFonts w:asciiTheme="majorHAnsi" w:hAnsiTheme="majorHAnsi"/>
          <w:sz w:val="24"/>
          <w:szCs w:val="24"/>
        </w:rPr>
      </w:pPr>
    </w:p>
    <w:p w:rsid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Spending on health in general is grossly inadequate. In 2007, according to WHO‘s World Health Statistics, India ranked 184 among 191 countries in terms of public expenditure on health as a percent of GDP. In per capita terms, India ranked 164 in the same sample of 191 countries, spending just about $29(PPP) .This level of per capita public expenditure on health was around a third of Sri Lanka ‘s, less than 30 percent of China‘s, and 14 percent of Thailand ‘s (WHO,2010). What is more, public spending on health as a percent of GDP in India has stagnated in the past two decades, from 1990–91 to 2009–10, varying from 0.9 to 1.2 percent of GDP.</w:t>
      </w:r>
    </w:p>
    <w:p w:rsidR="0076468F" w:rsidRPr="006A68A4" w:rsidRDefault="0076468F" w:rsidP="006A68A4">
      <w:pPr>
        <w:spacing w:line="264" w:lineRule="auto"/>
        <w:contextualSpacing/>
        <w:jc w:val="both"/>
        <w:rPr>
          <w:rFonts w:asciiTheme="majorHAnsi" w:hAnsiTheme="majorHAnsi"/>
          <w:sz w:val="24"/>
          <w:szCs w:val="24"/>
        </w:rPr>
      </w:pPr>
    </w:p>
    <w:p w:rsidR="006A68A4" w:rsidRPr="006A68A4" w:rsidRDefault="006A68A4" w:rsidP="006A68A4">
      <w:pPr>
        <w:spacing w:line="264" w:lineRule="auto"/>
        <w:contextualSpacing/>
        <w:jc w:val="both"/>
        <w:rPr>
          <w:rFonts w:asciiTheme="majorHAnsi" w:hAnsiTheme="majorHAnsi"/>
          <w:b/>
          <w:sz w:val="24"/>
          <w:szCs w:val="24"/>
        </w:rPr>
      </w:pPr>
      <w:r w:rsidRPr="006A68A4">
        <w:rPr>
          <w:rFonts w:asciiTheme="majorHAnsi" w:hAnsiTheme="majorHAnsi"/>
          <w:b/>
          <w:sz w:val="24"/>
          <w:szCs w:val="24"/>
        </w:rPr>
        <w:t xml:space="preserve">Innovative Financing </w:t>
      </w:r>
    </w:p>
    <w:p w:rsid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 xml:space="preserve">In order to increase the levels of financing, innovative financing mechanisms have been suggested and implemented in various parts of the world. These include imposition of a health cess, ‘sin taxes’, Tobin tax etc. These ensure a direct supply of funds to the financing pool earmarked for health, and do not compete with other social sector areas. Also, in the case of NUHM, since the grants from the center are fixed, the states and the municipalities can come up with locally acceptable, and appropriate ways to raise funds to supplement central funding. </w:t>
      </w:r>
    </w:p>
    <w:p w:rsidR="0076468F" w:rsidRPr="006A68A4" w:rsidRDefault="0076468F" w:rsidP="006A68A4">
      <w:pPr>
        <w:spacing w:line="264" w:lineRule="auto"/>
        <w:contextualSpacing/>
        <w:jc w:val="both"/>
        <w:rPr>
          <w:rFonts w:asciiTheme="majorHAnsi" w:hAnsiTheme="majorHAnsi"/>
          <w:sz w:val="24"/>
          <w:szCs w:val="24"/>
        </w:rPr>
      </w:pPr>
    </w:p>
    <w:p w:rsidR="006A68A4" w:rsidRPr="006A68A4" w:rsidRDefault="006A68A4" w:rsidP="006A68A4">
      <w:pPr>
        <w:spacing w:line="264" w:lineRule="auto"/>
        <w:contextualSpacing/>
        <w:jc w:val="both"/>
        <w:rPr>
          <w:rFonts w:asciiTheme="majorHAnsi" w:hAnsiTheme="majorHAnsi"/>
          <w:b/>
          <w:sz w:val="24"/>
          <w:szCs w:val="24"/>
        </w:rPr>
      </w:pPr>
      <w:r w:rsidRPr="006A68A4">
        <w:rPr>
          <w:rFonts w:asciiTheme="majorHAnsi" w:hAnsiTheme="majorHAnsi"/>
          <w:b/>
          <w:sz w:val="24"/>
          <w:szCs w:val="24"/>
        </w:rPr>
        <w:t xml:space="preserve">NUHM Draft Framework Financing Plan </w:t>
      </w:r>
    </w:p>
    <w:p w:rsid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It is estimated that the proposed NUHM would need a total of Rs.22,507crores (approximately) from 2012-13 to 2016-17, of which Rs.16,955 crores (approximately) is envisaged to be the central government share. Year wise financial requirement, by central and state share, is shown below.</w:t>
      </w:r>
    </w:p>
    <w:p w:rsidR="001913F1" w:rsidRPr="006A68A4" w:rsidRDefault="001913F1" w:rsidP="006A68A4">
      <w:pPr>
        <w:spacing w:line="264" w:lineRule="auto"/>
        <w:contextualSpacing/>
        <w:jc w:val="both"/>
        <w:rPr>
          <w:rFonts w:asciiTheme="majorHAnsi" w:hAnsiTheme="majorHAnsi"/>
          <w:sz w:val="24"/>
          <w:szCs w:val="24"/>
        </w:rPr>
      </w:pPr>
    </w:p>
    <w:tbl>
      <w:tblPr>
        <w:tblW w:w="9645" w:type="dxa"/>
        <w:tblInd w:w="93" w:type="dxa"/>
        <w:tblLook w:val="04A0"/>
      </w:tblPr>
      <w:tblGrid>
        <w:gridCol w:w="1372"/>
        <w:gridCol w:w="1973"/>
        <w:gridCol w:w="2070"/>
        <w:gridCol w:w="1530"/>
        <w:gridCol w:w="2700"/>
      </w:tblGrid>
      <w:tr w:rsidR="006A68A4" w:rsidRPr="006A68A4" w:rsidTr="00E01039">
        <w:trPr>
          <w:trHeight w:val="245"/>
        </w:trPr>
        <w:tc>
          <w:tcPr>
            <w:tcW w:w="1372" w:type="dxa"/>
            <w:tcBorders>
              <w:top w:val="single" w:sz="4" w:space="0" w:color="auto"/>
              <w:left w:val="single" w:sz="4" w:space="0" w:color="auto"/>
              <w:bottom w:val="single" w:sz="4" w:space="0" w:color="auto"/>
              <w:right w:val="nil"/>
            </w:tcBorders>
            <w:shd w:val="clear" w:color="auto" w:fill="auto"/>
            <w:noWrap/>
            <w:vAlign w:val="bottom"/>
            <w:hideMark/>
          </w:tcPr>
          <w:p w:rsidR="006A68A4" w:rsidRPr="006A68A4" w:rsidRDefault="006A68A4" w:rsidP="006A68A4">
            <w:pPr>
              <w:spacing w:line="264" w:lineRule="auto"/>
              <w:contextualSpacing/>
              <w:jc w:val="both"/>
              <w:rPr>
                <w:rFonts w:asciiTheme="majorHAnsi" w:hAnsiTheme="majorHAnsi"/>
                <w:bCs/>
                <w:sz w:val="24"/>
                <w:szCs w:val="24"/>
              </w:rPr>
            </w:pPr>
            <w:r w:rsidRPr="006A68A4">
              <w:rPr>
                <w:rFonts w:asciiTheme="majorHAnsi" w:hAnsiTheme="majorHAnsi"/>
                <w:bCs/>
                <w:sz w:val="24"/>
                <w:szCs w:val="24"/>
              </w:rPr>
              <w:lastRenderedPageBreak/>
              <w:t>Year</w:t>
            </w:r>
          </w:p>
        </w:tc>
        <w:tc>
          <w:tcPr>
            <w:tcW w:w="1973" w:type="dxa"/>
            <w:tcBorders>
              <w:top w:val="single" w:sz="4" w:space="0" w:color="auto"/>
              <w:left w:val="single" w:sz="4" w:space="0" w:color="auto"/>
              <w:bottom w:val="single" w:sz="4" w:space="0" w:color="auto"/>
              <w:right w:val="single" w:sz="4" w:space="0" w:color="auto"/>
            </w:tcBorders>
            <w:vAlign w:val="bottom"/>
          </w:tcPr>
          <w:p w:rsidR="006A68A4" w:rsidRPr="006A68A4" w:rsidRDefault="006A68A4" w:rsidP="006A68A4">
            <w:pPr>
              <w:spacing w:line="264" w:lineRule="auto"/>
              <w:contextualSpacing/>
              <w:jc w:val="both"/>
              <w:rPr>
                <w:rFonts w:asciiTheme="majorHAnsi" w:hAnsiTheme="majorHAnsi"/>
                <w:bCs/>
                <w:sz w:val="24"/>
                <w:szCs w:val="24"/>
              </w:rPr>
            </w:pPr>
            <w:r w:rsidRPr="006A68A4">
              <w:rPr>
                <w:rFonts w:asciiTheme="majorHAnsi" w:hAnsiTheme="majorHAnsi"/>
                <w:bCs/>
                <w:sz w:val="24"/>
                <w:szCs w:val="24"/>
              </w:rPr>
              <w:t>GOI</w:t>
            </w:r>
          </w:p>
        </w:tc>
        <w:tc>
          <w:tcPr>
            <w:tcW w:w="2070" w:type="dxa"/>
            <w:tcBorders>
              <w:top w:val="single" w:sz="4" w:space="0" w:color="auto"/>
              <w:left w:val="single" w:sz="4" w:space="0" w:color="auto"/>
              <w:bottom w:val="single" w:sz="4" w:space="0" w:color="auto"/>
              <w:right w:val="single" w:sz="4" w:space="0" w:color="auto"/>
            </w:tcBorders>
            <w:vAlign w:val="bottom"/>
          </w:tcPr>
          <w:p w:rsidR="006A68A4" w:rsidRPr="006A68A4" w:rsidRDefault="006A68A4" w:rsidP="006A68A4">
            <w:pPr>
              <w:spacing w:line="264" w:lineRule="auto"/>
              <w:contextualSpacing/>
              <w:jc w:val="both"/>
              <w:rPr>
                <w:rFonts w:asciiTheme="majorHAnsi" w:hAnsiTheme="majorHAnsi"/>
                <w:bCs/>
                <w:sz w:val="24"/>
                <w:szCs w:val="24"/>
              </w:rPr>
            </w:pPr>
            <w:r w:rsidRPr="006A68A4">
              <w:rPr>
                <w:rFonts w:asciiTheme="majorHAnsi" w:hAnsiTheme="majorHAnsi"/>
                <w:bCs/>
                <w:sz w:val="24"/>
                <w:szCs w:val="24"/>
              </w:rPr>
              <w:t>States</w:t>
            </w:r>
          </w:p>
        </w:tc>
        <w:tc>
          <w:tcPr>
            <w:tcW w:w="1530" w:type="dxa"/>
            <w:tcBorders>
              <w:top w:val="single" w:sz="4" w:space="0" w:color="auto"/>
              <w:left w:val="single" w:sz="4" w:space="0" w:color="auto"/>
              <w:bottom w:val="single" w:sz="4" w:space="0" w:color="auto"/>
              <w:right w:val="single" w:sz="4" w:space="0" w:color="auto"/>
            </w:tcBorders>
            <w:vAlign w:val="bottom"/>
          </w:tcPr>
          <w:p w:rsidR="006A68A4" w:rsidRPr="006A68A4" w:rsidRDefault="006A68A4" w:rsidP="006A68A4">
            <w:pPr>
              <w:spacing w:line="264" w:lineRule="auto"/>
              <w:contextualSpacing/>
              <w:jc w:val="both"/>
              <w:rPr>
                <w:rFonts w:asciiTheme="majorHAnsi" w:hAnsiTheme="majorHAnsi"/>
                <w:bCs/>
                <w:sz w:val="24"/>
                <w:szCs w:val="24"/>
              </w:rPr>
            </w:pPr>
            <w:r w:rsidRPr="006A68A4">
              <w:rPr>
                <w:rFonts w:asciiTheme="majorHAnsi" w:hAnsiTheme="majorHAnsi"/>
                <w:bCs/>
                <w:sz w:val="24"/>
                <w:szCs w:val="24"/>
              </w:rPr>
              <w:t>Total</w:t>
            </w:r>
          </w:p>
        </w:tc>
        <w:tc>
          <w:tcPr>
            <w:tcW w:w="2700" w:type="dxa"/>
            <w:tcBorders>
              <w:top w:val="single" w:sz="4" w:space="0" w:color="auto"/>
              <w:left w:val="single" w:sz="4" w:space="0" w:color="auto"/>
              <w:bottom w:val="single" w:sz="4" w:space="0" w:color="auto"/>
              <w:right w:val="single" w:sz="4" w:space="0" w:color="auto"/>
            </w:tcBorders>
          </w:tcPr>
          <w:p w:rsidR="006A68A4" w:rsidRPr="006A68A4" w:rsidRDefault="006A68A4" w:rsidP="006A68A4">
            <w:pPr>
              <w:spacing w:line="264" w:lineRule="auto"/>
              <w:contextualSpacing/>
              <w:jc w:val="both"/>
              <w:rPr>
                <w:rFonts w:asciiTheme="majorHAnsi" w:hAnsiTheme="majorHAnsi"/>
                <w:bCs/>
                <w:sz w:val="24"/>
                <w:szCs w:val="24"/>
              </w:rPr>
            </w:pPr>
            <w:r w:rsidRPr="006A68A4">
              <w:rPr>
                <w:rFonts w:asciiTheme="majorHAnsi" w:hAnsiTheme="majorHAnsi"/>
                <w:bCs/>
                <w:sz w:val="24"/>
                <w:szCs w:val="24"/>
              </w:rPr>
              <w:t xml:space="preserve">Remarks </w:t>
            </w:r>
          </w:p>
        </w:tc>
      </w:tr>
      <w:tr w:rsidR="006A68A4" w:rsidRPr="006A68A4" w:rsidTr="00E01039">
        <w:trPr>
          <w:trHeight w:val="245"/>
        </w:trPr>
        <w:tc>
          <w:tcPr>
            <w:tcW w:w="1372" w:type="dxa"/>
            <w:tcBorders>
              <w:top w:val="nil"/>
              <w:left w:val="single" w:sz="4" w:space="0" w:color="auto"/>
              <w:bottom w:val="single" w:sz="4" w:space="0" w:color="auto"/>
              <w:right w:val="nil"/>
            </w:tcBorders>
            <w:shd w:val="clear" w:color="auto" w:fill="auto"/>
            <w:noWrap/>
            <w:vAlign w:val="bottom"/>
            <w:hideMark/>
          </w:tcPr>
          <w:p w:rsidR="006A68A4" w:rsidRP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2012-13</w:t>
            </w:r>
          </w:p>
        </w:tc>
        <w:tc>
          <w:tcPr>
            <w:tcW w:w="1973" w:type="dxa"/>
            <w:tcBorders>
              <w:top w:val="nil"/>
              <w:left w:val="single" w:sz="4" w:space="0" w:color="auto"/>
              <w:bottom w:val="single" w:sz="4" w:space="0" w:color="auto"/>
              <w:right w:val="single" w:sz="4" w:space="0" w:color="auto"/>
            </w:tcBorders>
            <w:vAlign w:val="bottom"/>
          </w:tcPr>
          <w:p w:rsidR="006A68A4" w:rsidRP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2,325.61</w:t>
            </w:r>
          </w:p>
        </w:tc>
        <w:tc>
          <w:tcPr>
            <w:tcW w:w="2070" w:type="dxa"/>
            <w:tcBorders>
              <w:top w:val="nil"/>
              <w:left w:val="single" w:sz="4" w:space="0" w:color="auto"/>
              <w:bottom w:val="single" w:sz="4" w:space="0" w:color="auto"/>
              <w:right w:val="single" w:sz="4" w:space="0" w:color="auto"/>
            </w:tcBorders>
            <w:vAlign w:val="bottom"/>
          </w:tcPr>
          <w:p w:rsidR="006A68A4" w:rsidRP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762.13</w:t>
            </w:r>
          </w:p>
        </w:tc>
        <w:tc>
          <w:tcPr>
            <w:tcW w:w="1530" w:type="dxa"/>
            <w:tcBorders>
              <w:top w:val="nil"/>
              <w:left w:val="single" w:sz="4" w:space="0" w:color="auto"/>
              <w:bottom w:val="single" w:sz="4" w:space="0" w:color="auto"/>
              <w:right w:val="single" w:sz="4" w:space="0" w:color="auto"/>
            </w:tcBorders>
            <w:vAlign w:val="bottom"/>
          </w:tcPr>
          <w:p w:rsidR="006A68A4" w:rsidRP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3,087.74</w:t>
            </w:r>
          </w:p>
        </w:tc>
        <w:tc>
          <w:tcPr>
            <w:tcW w:w="2700" w:type="dxa"/>
            <w:vMerge w:val="restart"/>
            <w:tcBorders>
              <w:top w:val="nil"/>
              <w:left w:val="single" w:sz="4" w:space="0" w:color="auto"/>
              <w:right w:val="single" w:sz="4" w:space="0" w:color="auto"/>
            </w:tcBorders>
          </w:tcPr>
          <w:p w:rsidR="006A68A4" w:rsidRP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GOI 75%, state 25% in all states except northeastern states where the ratio is</w:t>
            </w:r>
          </w:p>
          <w:p w:rsidR="006A68A4" w:rsidRP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GOI 90%, state 10%</w:t>
            </w:r>
          </w:p>
          <w:p w:rsidR="006A68A4" w:rsidRPr="006A68A4" w:rsidRDefault="006A68A4" w:rsidP="006A68A4">
            <w:pPr>
              <w:spacing w:line="264" w:lineRule="auto"/>
              <w:contextualSpacing/>
              <w:jc w:val="both"/>
              <w:rPr>
                <w:rFonts w:asciiTheme="majorHAnsi" w:hAnsiTheme="majorHAnsi"/>
                <w:sz w:val="24"/>
                <w:szCs w:val="24"/>
              </w:rPr>
            </w:pPr>
          </w:p>
        </w:tc>
      </w:tr>
      <w:tr w:rsidR="006A68A4" w:rsidRPr="006A68A4" w:rsidTr="00E01039">
        <w:trPr>
          <w:trHeight w:val="413"/>
        </w:trPr>
        <w:tc>
          <w:tcPr>
            <w:tcW w:w="1372" w:type="dxa"/>
            <w:tcBorders>
              <w:top w:val="nil"/>
              <w:left w:val="single" w:sz="4" w:space="0" w:color="auto"/>
              <w:bottom w:val="single" w:sz="4" w:space="0" w:color="auto"/>
              <w:right w:val="nil"/>
            </w:tcBorders>
            <w:shd w:val="clear" w:color="auto" w:fill="auto"/>
            <w:noWrap/>
            <w:vAlign w:val="bottom"/>
            <w:hideMark/>
          </w:tcPr>
          <w:p w:rsidR="006A68A4" w:rsidRP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2013-14</w:t>
            </w:r>
          </w:p>
        </w:tc>
        <w:tc>
          <w:tcPr>
            <w:tcW w:w="1973" w:type="dxa"/>
            <w:tcBorders>
              <w:top w:val="nil"/>
              <w:left w:val="single" w:sz="4" w:space="0" w:color="auto"/>
              <w:bottom w:val="single" w:sz="4" w:space="0" w:color="auto"/>
              <w:right w:val="single" w:sz="4" w:space="0" w:color="auto"/>
            </w:tcBorders>
            <w:vAlign w:val="bottom"/>
          </w:tcPr>
          <w:p w:rsidR="006A68A4" w:rsidRP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3,782.74</w:t>
            </w:r>
          </w:p>
        </w:tc>
        <w:tc>
          <w:tcPr>
            <w:tcW w:w="2070" w:type="dxa"/>
            <w:tcBorders>
              <w:top w:val="nil"/>
              <w:left w:val="single" w:sz="4" w:space="0" w:color="auto"/>
              <w:bottom w:val="single" w:sz="4" w:space="0" w:color="auto"/>
              <w:right w:val="single" w:sz="4" w:space="0" w:color="auto"/>
            </w:tcBorders>
            <w:vAlign w:val="bottom"/>
          </w:tcPr>
          <w:p w:rsidR="006A68A4" w:rsidRP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1,239.42</w:t>
            </w:r>
          </w:p>
        </w:tc>
        <w:tc>
          <w:tcPr>
            <w:tcW w:w="1530" w:type="dxa"/>
            <w:tcBorders>
              <w:top w:val="nil"/>
              <w:left w:val="single" w:sz="4" w:space="0" w:color="auto"/>
              <w:bottom w:val="single" w:sz="4" w:space="0" w:color="auto"/>
              <w:right w:val="single" w:sz="4" w:space="0" w:color="auto"/>
            </w:tcBorders>
            <w:vAlign w:val="bottom"/>
          </w:tcPr>
          <w:p w:rsidR="006A68A4" w:rsidRP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5,022.17</w:t>
            </w:r>
          </w:p>
        </w:tc>
        <w:tc>
          <w:tcPr>
            <w:tcW w:w="2700" w:type="dxa"/>
            <w:vMerge/>
            <w:tcBorders>
              <w:left w:val="single" w:sz="4" w:space="0" w:color="auto"/>
              <w:right w:val="single" w:sz="4" w:space="0" w:color="auto"/>
            </w:tcBorders>
          </w:tcPr>
          <w:p w:rsidR="006A68A4" w:rsidRPr="006A68A4" w:rsidRDefault="006A68A4" w:rsidP="006A68A4">
            <w:pPr>
              <w:spacing w:line="264" w:lineRule="auto"/>
              <w:contextualSpacing/>
              <w:jc w:val="both"/>
              <w:rPr>
                <w:rFonts w:asciiTheme="majorHAnsi" w:hAnsiTheme="majorHAnsi"/>
                <w:sz w:val="24"/>
                <w:szCs w:val="24"/>
              </w:rPr>
            </w:pPr>
          </w:p>
        </w:tc>
      </w:tr>
      <w:tr w:rsidR="006A68A4" w:rsidRPr="006A68A4" w:rsidTr="00E01039">
        <w:trPr>
          <w:trHeight w:val="350"/>
        </w:trPr>
        <w:tc>
          <w:tcPr>
            <w:tcW w:w="1372" w:type="dxa"/>
            <w:tcBorders>
              <w:top w:val="nil"/>
              <w:left w:val="single" w:sz="4" w:space="0" w:color="auto"/>
              <w:bottom w:val="single" w:sz="4" w:space="0" w:color="auto"/>
              <w:right w:val="nil"/>
            </w:tcBorders>
            <w:shd w:val="clear" w:color="auto" w:fill="auto"/>
            <w:noWrap/>
            <w:vAlign w:val="bottom"/>
            <w:hideMark/>
          </w:tcPr>
          <w:p w:rsidR="006A68A4" w:rsidRP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2014-15</w:t>
            </w:r>
          </w:p>
        </w:tc>
        <w:tc>
          <w:tcPr>
            <w:tcW w:w="1973" w:type="dxa"/>
            <w:tcBorders>
              <w:top w:val="nil"/>
              <w:left w:val="single" w:sz="4" w:space="0" w:color="auto"/>
              <w:bottom w:val="single" w:sz="4" w:space="0" w:color="auto"/>
              <w:right w:val="single" w:sz="4" w:space="0" w:color="auto"/>
            </w:tcBorders>
            <w:vAlign w:val="bottom"/>
          </w:tcPr>
          <w:p w:rsidR="006A68A4" w:rsidRP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3,957.74</w:t>
            </w:r>
          </w:p>
        </w:tc>
        <w:tc>
          <w:tcPr>
            <w:tcW w:w="2070" w:type="dxa"/>
            <w:tcBorders>
              <w:top w:val="nil"/>
              <w:left w:val="single" w:sz="4" w:space="0" w:color="auto"/>
              <w:bottom w:val="single" w:sz="4" w:space="0" w:color="auto"/>
              <w:right w:val="single" w:sz="4" w:space="0" w:color="auto"/>
            </w:tcBorders>
            <w:vAlign w:val="bottom"/>
          </w:tcPr>
          <w:p w:rsidR="006A68A4" w:rsidRP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1,296.35</w:t>
            </w:r>
          </w:p>
        </w:tc>
        <w:tc>
          <w:tcPr>
            <w:tcW w:w="1530" w:type="dxa"/>
            <w:tcBorders>
              <w:top w:val="nil"/>
              <w:left w:val="single" w:sz="4" w:space="0" w:color="auto"/>
              <w:bottom w:val="single" w:sz="4" w:space="0" w:color="auto"/>
              <w:right w:val="single" w:sz="4" w:space="0" w:color="auto"/>
            </w:tcBorders>
            <w:vAlign w:val="bottom"/>
          </w:tcPr>
          <w:p w:rsidR="006A68A4" w:rsidRP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5,254.09</w:t>
            </w:r>
          </w:p>
        </w:tc>
        <w:tc>
          <w:tcPr>
            <w:tcW w:w="2700" w:type="dxa"/>
            <w:vMerge/>
            <w:tcBorders>
              <w:left w:val="single" w:sz="4" w:space="0" w:color="auto"/>
              <w:right w:val="single" w:sz="4" w:space="0" w:color="auto"/>
            </w:tcBorders>
          </w:tcPr>
          <w:p w:rsidR="006A68A4" w:rsidRPr="006A68A4" w:rsidRDefault="006A68A4" w:rsidP="006A68A4">
            <w:pPr>
              <w:spacing w:line="264" w:lineRule="auto"/>
              <w:contextualSpacing/>
              <w:jc w:val="both"/>
              <w:rPr>
                <w:rFonts w:asciiTheme="majorHAnsi" w:hAnsiTheme="majorHAnsi"/>
                <w:sz w:val="24"/>
                <w:szCs w:val="24"/>
              </w:rPr>
            </w:pPr>
          </w:p>
        </w:tc>
      </w:tr>
      <w:tr w:rsidR="006A68A4" w:rsidRPr="006A68A4" w:rsidTr="00E01039">
        <w:trPr>
          <w:trHeight w:val="350"/>
        </w:trPr>
        <w:tc>
          <w:tcPr>
            <w:tcW w:w="1372" w:type="dxa"/>
            <w:tcBorders>
              <w:top w:val="nil"/>
              <w:left w:val="single" w:sz="4" w:space="0" w:color="auto"/>
              <w:bottom w:val="single" w:sz="4" w:space="0" w:color="auto"/>
              <w:right w:val="nil"/>
            </w:tcBorders>
            <w:shd w:val="clear" w:color="auto" w:fill="auto"/>
            <w:noWrap/>
            <w:vAlign w:val="bottom"/>
            <w:hideMark/>
          </w:tcPr>
          <w:p w:rsidR="006A68A4" w:rsidRP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2015-16</w:t>
            </w:r>
          </w:p>
        </w:tc>
        <w:tc>
          <w:tcPr>
            <w:tcW w:w="1973" w:type="dxa"/>
            <w:tcBorders>
              <w:top w:val="nil"/>
              <w:left w:val="single" w:sz="4" w:space="0" w:color="auto"/>
              <w:bottom w:val="single" w:sz="4" w:space="0" w:color="auto"/>
              <w:right w:val="single" w:sz="4" w:space="0" w:color="auto"/>
            </w:tcBorders>
            <w:vAlign w:val="bottom"/>
          </w:tcPr>
          <w:p w:rsidR="006A68A4" w:rsidRP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3,949.20</w:t>
            </w:r>
          </w:p>
        </w:tc>
        <w:tc>
          <w:tcPr>
            <w:tcW w:w="2070" w:type="dxa"/>
            <w:tcBorders>
              <w:top w:val="nil"/>
              <w:left w:val="single" w:sz="4" w:space="0" w:color="auto"/>
              <w:bottom w:val="single" w:sz="4" w:space="0" w:color="auto"/>
              <w:right w:val="single" w:sz="4" w:space="0" w:color="auto"/>
            </w:tcBorders>
            <w:vAlign w:val="bottom"/>
          </w:tcPr>
          <w:p w:rsidR="006A68A4" w:rsidRP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1,293.20</w:t>
            </w:r>
          </w:p>
        </w:tc>
        <w:tc>
          <w:tcPr>
            <w:tcW w:w="1530" w:type="dxa"/>
            <w:tcBorders>
              <w:top w:val="nil"/>
              <w:left w:val="single" w:sz="4" w:space="0" w:color="auto"/>
              <w:bottom w:val="single" w:sz="4" w:space="0" w:color="auto"/>
              <w:right w:val="single" w:sz="4" w:space="0" w:color="auto"/>
            </w:tcBorders>
            <w:vAlign w:val="bottom"/>
          </w:tcPr>
          <w:p w:rsidR="006A68A4" w:rsidRP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5,242.40</w:t>
            </w:r>
          </w:p>
        </w:tc>
        <w:tc>
          <w:tcPr>
            <w:tcW w:w="2700" w:type="dxa"/>
            <w:vMerge/>
            <w:tcBorders>
              <w:left w:val="single" w:sz="4" w:space="0" w:color="auto"/>
              <w:right w:val="single" w:sz="4" w:space="0" w:color="auto"/>
            </w:tcBorders>
          </w:tcPr>
          <w:p w:rsidR="006A68A4" w:rsidRPr="006A68A4" w:rsidRDefault="006A68A4" w:rsidP="006A68A4">
            <w:pPr>
              <w:spacing w:line="264" w:lineRule="auto"/>
              <w:contextualSpacing/>
              <w:jc w:val="both"/>
              <w:rPr>
                <w:rFonts w:asciiTheme="majorHAnsi" w:hAnsiTheme="majorHAnsi"/>
                <w:sz w:val="24"/>
                <w:szCs w:val="24"/>
              </w:rPr>
            </w:pPr>
          </w:p>
        </w:tc>
      </w:tr>
      <w:tr w:rsidR="006A68A4" w:rsidRPr="006A68A4" w:rsidTr="00E01039">
        <w:trPr>
          <w:trHeight w:val="350"/>
        </w:trPr>
        <w:tc>
          <w:tcPr>
            <w:tcW w:w="1372" w:type="dxa"/>
            <w:tcBorders>
              <w:top w:val="nil"/>
              <w:left w:val="single" w:sz="4" w:space="0" w:color="auto"/>
              <w:bottom w:val="single" w:sz="4" w:space="0" w:color="auto"/>
              <w:right w:val="nil"/>
            </w:tcBorders>
            <w:shd w:val="clear" w:color="auto" w:fill="auto"/>
            <w:noWrap/>
            <w:vAlign w:val="bottom"/>
            <w:hideMark/>
          </w:tcPr>
          <w:p w:rsidR="006A68A4" w:rsidRP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2016-17</w:t>
            </w:r>
          </w:p>
        </w:tc>
        <w:tc>
          <w:tcPr>
            <w:tcW w:w="1973" w:type="dxa"/>
            <w:tcBorders>
              <w:top w:val="nil"/>
              <w:left w:val="single" w:sz="4" w:space="0" w:color="auto"/>
              <w:bottom w:val="single" w:sz="4" w:space="0" w:color="auto"/>
              <w:right w:val="single" w:sz="4" w:space="0" w:color="auto"/>
            </w:tcBorders>
            <w:vAlign w:val="bottom"/>
          </w:tcPr>
          <w:p w:rsidR="006A68A4" w:rsidRP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2,939.77</w:t>
            </w:r>
          </w:p>
        </w:tc>
        <w:tc>
          <w:tcPr>
            <w:tcW w:w="2070" w:type="dxa"/>
            <w:tcBorders>
              <w:top w:val="nil"/>
              <w:left w:val="single" w:sz="4" w:space="0" w:color="auto"/>
              <w:bottom w:val="single" w:sz="4" w:space="0" w:color="auto"/>
              <w:right w:val="single" w:sz="4" w:space="0" w:color="auto"/>
            </w:tcBorders>
            <w:vAlign w:val="bottom"/>
          </w:tcPr>
          <w:p w:rsidR="006A68A4" w:rsidRP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961.04</w:t>
            </w:r>
          </w:p>
        </w:tc>
        <w:tc>
          <w:tcPr>
            <w:tcW w:w="1530" w:type="dxa"/>
            <w:tcBorders>
              <w:top w:val="nil"/>
              <w:left w:val="single" w:sz="4" w:space="0" w:color="auto"/>
              <w:bottom w:val="single" w:sz="4" w:space="0" w:color="auto"/>
              <w:right w:val="single" w:sz="4" w:space="0" w:color="auto"/>
            </w:tcBorders>
            <w:vAlign w:val="bottom"/>
          </w:tcPr>
          <w:p w:rsidR="006A68A4" w:rsidRP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3,900.82</w:t>
            </w:r>
          </w:p>
        </w:tc>
        <w:tc>
          <w:tcPr>
            <w:tcW w:w="2700" w:type="dxa"/>
            <w:vMerge/>
            <w:tcBorders>
              <w:left w:val="single" w:sz="4" w:space="0" w:color="auto"/>
              <w:bottom w:val="single" w:sz="4" w:space="0" w:color="auto"/>
              <w:right w:val="single" w:sz="4" w:space="0" w:color="auto"/>
            </w:tcBorders>
          </w:tcPr>
          <w:p w:rsidR="006A68A4" w:rsidRPr="006A68A4" w:rsidRDefault="006A68A4" w:rsidP="006A68A4">
            <w:pPr>
              <w:spacing w:line="264" w:lineRule="auto"/>
              <w:contextualSpacing/>
              <w:jc w:val="both"/>
              <w:rPr>
                <w:rFonts w:asciiTheme="majorHAnsi" w:hAnsiTheme="majorHAnsi"/>
                <w:sz w:val="24"/>
                <w:szCs w:val="24"/>
              </w:rPr>
            </w:pPr>
          </w:p>
        </w:tc>
      </w:tr>
      <w:tr w:rsidR="006A68A4" w:rsidRPr="006A68A4" w:rsidTr="00E01039">
        <w:trPr>
          <w:trHeight w:val="257"/>
        </w:trPr>
        <w:tc>
          <w:tcPr>
            <w:tcW w:w="1372" w:type="dxa"/>
            <w:tcBorders>
              <w:top w:val="nil"/>
              <w:left w:val="single" w:sz="4" w:space="0" w:color="auto"/>
              <w:bottom w:val="single" w:sz="4" w:space="0" w:color="auto"/>
              <w:right w:val="nil"/>
            </w:tcBorders>
            <w:shd w:val="clear" w:color="auto" w:fill="auto"/>
            <w:noWrap/>
            <w:vAlign w:val="bottom"/>
            <w:hideMark/>
          </w:tcPr>
          <w:p w:rsidR="006A68A4" w:rsidRPr="006A68A4" w:rsidRDefault="006A68A4" w:rsidP="006A68A4">
            <w:pPr>
              <w:spacing w:line="264" w:lineRule="auto"/>
              <w:contextualSpacing/>
              <w:jc w:val="both"/>
              <w:rPr>
                <w:rFonts w:asciiTheme="majorHAnsi" w:hAnsiTheme="majorHAnsi"/>
                <w:bCs/>
                <w:sz w:val="24"/>
                <w:szCs w:val="24"/>
              </w:rPr>
            </w:pPr>
            <w:r w:rsidRPr="006A68A4">
              <w:rPr>
                <w:rFonts w:asciiTheme="majorHAnsi" w:hAnsiTheme="majorHAnsi"/>
                <w:bCs/>
                <w:sz w:val="24"/>
                <w:szCs w:val="24"/>
              </w:rPr>
              <w:t>Total</w:t>
            </w:r>
          </w:p>
        </w:tc>
        <w:tc>
          <w:tcPr>
            <w:tcW w:w="1973" w:type="dxa"/>
            <w:tcBorders>
              <w:top w:val="nil"/>
              <w:left w:val="single" w:sz="4" w:space="0" w:color="auto"/>
              <w:bottom w:val="single" w:sz="4" w:space="0" w:color="auto"/>
              <w:right w:val="single" w:sz="4" w:space="0" w:color="auto"/>
            </w:tcBorders>
            <w:vAlign w:val="bottom"/>
          </w:tcPr>
          <w:p w:rsidR="006A68A4" w:rsidRPr="006A68A4" w:rsidRDefault="006A68A4" w:rsidP="006A68A4">
            <w:pPr>
              <w:spacing w:line="264" w:lineRule="auto"/>
              <w:contextualSpacing/>
              <w:jc w:val="both"/>
              <w:rPr>
                <w:rFonts w:asciiTheme="majorHAnsi" w:hAnsiTheme="majorHAnsi"/>
                <w:bCs/>
                <w:sz w:val="24"/>
                <w:szCs w:val="24"/>
              </w:rPr>
            </w:pPr>
            <w:r w:rsidRPr="006A68A4">
              <w:rPr>
                <w:rFonts w:asciiTheme="majorHAnsi" w:hAnsiTheme="majorHAnsi"/>
                <w:bCs/>
                <w:sz w:val="24"/>
                <w:szCs w:val="24"/>
              </w:rPr>
              <w:t>16,955.07</w:t>
            </w:r>
          </w:p>
        </w:tc>
        <w:tc>
          <w:tcPr>
            <w:tcW w:w="2070" w:type="dxa"/>
            <w:tcBorders>
              <w:top w:val="nil"/>
              <w:left w:val="single" w:sz="4" w:space="0" w:color="auto"/>
              <w:bottom w:val="single" w:sz="4" w:space="0" w:color="auto"/>
              <w:right w:val="single" w:sz="4" w:space="0" w:color="auto"/>
            </w:tcBorders>
            <w:vAlign w:val="bottom"/>
          </w:tcPr>
          <w:p w:rsidR="006A68A4" w:rsidRPr="006A68A4" w:rsidRDefault="006A68A4" w:rsidP="006A68A4">
            <w:pPr>
              <w:spacing w:line="264" w:lineRule="auto"/>
              <w:contextualSpacing/>
              <w:jc w:val="both"/>
              <w:rPr>
                <w:rFonts w:asciiTheme="majorHAnsi" w:hAnsiTheme="majorHAnsi"/>
                <w:bCs/>
                <w:sz w:val="24"/>
                <w:szCs w:val="24"/>
              </w:rPr>
            </w:pPr>
            <w:r w:rsidRPr="006A68A4">
              <w:rPr>
                <w:rFonts w:asciiTheme="majorHAnsi" w:hAnsiTheme="majorHAnsi"/>
                <w:bCs/>
                <w:sz w:val="24"/>
                <w:szCs w:val="24"/>
              </w:rPr>
              <w:t>5,552.14</w:t>
            </w:r>
          </w:p>
        </w:tc>
        <w:tc>
          <w:tcPr>
            <w:tcW w:w="1530" w:type="dxa"/>
            <w:tcBorders>
              <w:top w:val="nil"/>
              <w:left w:val="single" w:sz="4" w:space="0" w:color="auto"/>
              <w:bottom w:val="single" w:sz="4" w:space="0" w:color="auto"/>
              <w:right w:val="single" w:sz="4" w:space="0" w:color="auto"/>
            </w:tcBorders>
            <w:vAlign w:val="bottom"/>
          </w:tcPr>
          <w:p w:rsidR="006A68A4" w:rsidRPr="006A68A4" w:rsidRDefault="006A68A4" w:rsidP="006A68A4">
            <w:pPr>
              <w:spacing w:line="264" w:lineRule="auto"/>
              <w:contextualSpacing/>
              <w:jc w:val="both"/>
              <w:rPr>
                <w:rFonts w:asciiTheme="majorHAnsi" w:hAnsiTheme="majorHAnsi"/>
                <w:bCs/>
                <w:sz w:val="24"/>
                <w:szCs w:val="24"/>
              </w:rPr>
            </w:pPr>
            <w:r w:rsidRPr="006A68A4">
              <w:rPr>
                <w:rFonts w:asciiTheme="majorHAnsi" w:hAnsiTheme="majorHAnsi"/>
                <w:bCs/>
                <w:sz w:val="24"/>
                <w:szCs w:val="24"/>
              </w:rPr>
              <w:t>22,507.21</w:t>
            </w:r>
          </w:p>
        </w:tc>
        <w:tc>
          <w:tcPr>
            <w:tcW w:w="2700" w:type="dxa"/>
            <w:tcBorders>
              <w:top w:val="nil"/>
              <w:left w:val="single" w:sz="4" w:space="0" w:color="auto"/>
              <w:bottom w:val="single" w:sz="4" w:space="0" w:color="auto"/>
              <w:right w:val="single" w:sz="4" w:space="0" w:color="auto"/>
            </w:tcBorders>
          </w:tcPr>
          <w:p w:rsidR="006A68A4" w:rsidRPr="006A68A4" w:rsidRDefault="006A68A4" w:rsidP="006A68A4">
            <w:pPr>
              <w:spacing w:line="264" w:lineRule="auto"/>
              <w:contextualSpacing/>
              <w:jc w:val="both"/>
              <w:rPr>
                <w:rFonts w:asciiTheme="majorHAnsi" w:hAnsiTheme="majorHAnsi"/>
                <w:bCs/>
                <w:sz w:val="24"/>
                <w:szCs w:val="24"/>
              </w:rPr>
            </w:pPr>
          </w:p>
        </w:tc>
      </w:tr>
    </w:tbl>
    <w:p w:rsidR="006A68A4" w:rsidRPr="006A68A4" w:rsidRDefault="006A68A4" w:rsidP="006A68A4">
      <w:pPr>
        <w:spacing w:line="264" w:lineRule="auto"/>
        <w:contextualSpacing/>
        <w:jc w:val="both"/>
        <w:rPr>
          <w:rFonts w:asciiTheme="majorHAnsi" w:hAnsiTheme="majorHAnsi"/>
          <w:sz w:val="24"/>
          <w:szCs w:val="24"/>
        </w:rPr>
      </w:pPr>
    </w:p>
    <w:p w:rsid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sz w:val="24"/>
          <w:szCs w:val="24"/>
        </w:rPr>
        <w:t xml:space="preserve">While it would be essential to consider ways to maximize the purchases from this funding, and to allocate funds efficiently and effectively, ways to enhance the funds available may also be considered. </w:t>
      </w:r>
    </w:p>
    <w:p w:rsidR="0076468F" w:rsidRPr="006A68A4" w:rsidRDefault="0076468F" w:rsidP="006A68A4">
      <w:pPr>
        <w:spacing w:line="264" w:lineRule="auto"/>
        <w:contextualSpacing/>
        <w:jc w:val="both"/>
        <w:rPr>
          <w:rFonts w:asciiTheme="majorHAnsi" w:hAnsiTheme="majorHAnsi"/>
          <w:sz w:val="24"/>
          <w:szCs w:val="24"/>
        </w:rPr>
      </w:pPr>
    </w:p>
    <w:p w:rsidR="006A68A4" w:rsidRPr="006A68A4" w:rsidRDefault="0076468F" w:rsidP="006A68A4">
      <w:pPr>
        <w:spacing w:line="264" w:lineRule="auto"/>
        <w:contextualSpacing/>
        <w:jc w:val="both"/>
        <w:rPr>
          <w:rFonts w:asciiTheme="majorHAnsi" w:hAnsiTheme="majorHAnsi"/>
          <w:b/>
          <w:sz w:val="24"/>
          <w:szCs w:val="24"/>
        </w:rPr>
      </w:pPr>
      <w:r>
        <w:rPr>
          <w:rFonts w:asciiTheme="majorHAnsi" w:hAnsiTheme="majorHAnsi"/>
          <w:b/>
          <w:sz w:val="24"/>
          <w:szCs w:val="24"/>
        </w:rPr>
        <w:t xml:space="preserve">TOR Question 3: </w:t>
      </w:r>
      <w:r w:rsidR="006A68A4" w:rsidRPr="006A68A4">
        <w:rPr>
          <w:rFonts w:asciiTheme="majorHAnsi" w:hAnsiTheme="majorHAnsi"/>
          <w:b/>
          <w:sz w:val="24"/>
          <w:szCs w:val="24"/>
        </w:rPr>
        <w:t>Mechanisms of Financing</w:t>
      </w:r>
    </w:p>
    <w:p w:rsidR="006A68A4" w:rsidRPr="006A68A4" w:rsidRDefault="006A68A4" w:rsidP="006A68A4">
      <w:pPr>
        <w:autoSpaceDE w:val="0"/>
        <w:autoSpaceDN w:val="0"/>
        <w:adjustRightInd w:val="0"/>
        <w:spacing w:after="0" w:line="264" w:lineRule="auto"/>
        <w:contextualSpacing/>
        <w:jc w:val="both"/>
        <w:rPr>
          <w:rFonts w:asciiTheme="majorHAnsi" w:hAnsiTheme="majorHAnsi" w:cs="Times New Roman"/>
          <w:sz w:val="24"/>
          <w:szCs w:val="24"/>
        </w:rPr>
      </w:pPr>
      <w:r w:rsidRPr="006A68A4">
        <w:rPr>
          <w:rFonts w:asciiTheme="majorHAnsi" w:hAnsiTheme="majorHAnsi" w:cs="Times New Roman"/>
          <w:sz w:val="24"/>
          <w:szCs w:val="24"/>
        </w:rPr>
        <w:t>1. What is the total cost which different socio-economic quintiles of urban population have to make for seeking health care?</w:t>
      </w:r>
    </w:p>
    <w:p w:rsidR="006A68A4" w:rsidRPr="006A68A4" w:rsidRDefault="006A68A4" w:rsidP="006A68A4">
      <w:pPr>
        <w:autoSpaceDE w:val="0"/>
        <w:autoSpaceDN w:val="0"/>
        <w:adjustRightInd w:val="0"/>
        <w:spacing w:after="0" w:line="264" w:lineRule="auto"/>
        <w:contextualSpacing/>
        <w:jc w:val="both"/>
        <w:rPr>
          <w:rFonts w:asciiTheme="majorHAnsi" w:hAnsiTheme="majorHAnsi" w:cs="Times New Roman"/>
          <w:sz w:val="24"/>
          <w:szCs w:val="24"/>
        </w:rPr>
      </w:pPr>
      <w:r w:rsidRPr="006A68A4">
        <w:rPr>
          <w:rFonts w:asciiTheme="majorHAnsi" w:hAnsiTheme="majorHAnsi" w:cs="Times New Roman"/>
          <w:sz w:val="24"/>
          <w:szCs w:val="24"/>
        </w:rPr>
        <w:t>2. What proportion among them gets impoverished due to healthcare costs? </w:t>
      </w:r>
    </w:p>
    <w:p w:rsidR="006A68A4" w:rsidRPr="006A68A4" w:rsidRDefault="006A68A4" w:rsidP="006A68A4">
      <w:pPr>
        <w:autoSpaceDE w:val="0"/>
        <w:autoSpaceDN w:val="0"/>
        <w:adjustRightInd w:val="0"/>
        <w:spacing w:after="0" w:line="264" w:lineRule="auto"/>
        <w:contextualSpacing/>
        <w:jc w:val="both"/>
        <w:rPr>
          <w:rFonts w:asciiTheme="majorHAnsi" w:hAnsiTheme="majorHAnsi" w:cs="Times New Roman"/>
          <w:sz w:val="24"/>
          <w:szCs w:val="24"/>
        </w:rPr>
      </w:pPr>
      <w:r w:rsidRPr="006A68A4">
        <w:rPr>
          <w:rFonts w:asciiTheme="majorHAnsi" w:hAnsiTheme="majorHAnsi" w:cs="Times New Roman"/>
          <w:sz w:val="24"/>
          <w:szCs w:val="24"/>
        </w:rPr>
        <w:t>3. What could be the different mechanisms of financing to protect the poor from catastrophic payments which make them impoverished? </w:t>
      </w:r>
    </w:p>
    <w:p w:rsidR="006A68A4" w:rsidRPr="006A68A4" w:rsidRDefault="006A68A4" w:rsidP="006A68A4">
      <w:pPr>
        <w:autoSpaceDE w:val="0"/>
        <w:autoSpaceDN w:val="0"/>
        <w:adjustRightInd w:val="0"/>
        <w:spacing w:after="0" w:line="264" w:lineRule="auto"/>
        <w:contextualSpacing/>
        <w:jc w:val="both"/>
        <w:rPr>
          <w:rFonts w:asciiTheme="majorHAnsi" w:hAnsiTheme="majorHAnsi" w:cs="Times New Roman"/>
          <w:sz w:val="24"/>
          <w:szCs w:val="24"/>
        </w:rPr>
      </w:pPr>
      <w:r w:rsidRPr="006A68A4">
        <w:rPr>
          <w:rFonts w:asciiTheme="majorHAnsi" w:hAnsiTheme="majorHAnsi" w:cs="Times New Roman"/>
          <w:sz w:val="24"/>
          <w:szCs w:val="24"/>
        </w:rPr>
        <w:t>4. What would be the financing and governance measures required for the proposed mechanisms i.e. costs of this plan, phasing, and public investment plan, bearing in mind roles and contributions of central, state and local governments, and the diversity of small, medium, large and mega-cities?</w:t>
      </w:r>
    </w:p>
    <w:p w:rsidR="006A68A4" w:rsidRPr="006A68A4" w:rsidRDefault="006A68A4" w:rsidP="006A68A4">
      <w:pPr>
        <w:autoSpaceDE w:val="0"/>
        <w:autoSpaceDN w:val="0"/>
        <w:adjustRightInd w:val="0"/>
        <w:spacing w:after="0" w:line="264" w:lineRule="auto"/>
        <w:contextualSpacing/>
        <w:jc w:val="both"/>
        <w:rPr>
          <w:rFonts w:asciiTheme="majorHAnsi" w:hAnsiTheme="majorHAnsi" w:cs="Times New Roman"/>
          <w:b/>
          <w:sz w:val="24"/>
          <w:szCs w:val="24"/>
          <w:u w:val="single"/>
        </w:rPr>
      </w:pPr>
    </w:p>
    <w:p w:rsidR="006A68A4" w:rsidRPr="006A68A4" w:rsidRDefault="006A68A4" w:rsidP="006A68A4">
      <w:pPr>
        <w:autoSpaceDE w:val="0"/>
        <w:autoSpaceDN w:val="0"/>
        <w:adjustRightInd w:val="0"/>
        <w:spacing w:after="0" w:line="264" w:lineRule="auto"/>
        <w:contextualSpacing/>
        <w:rPr>
          <w:rFonts w:asciiTheme="majorHAnsi" w:hAnsiTheme="majorHAnsi" w:cs="Times New Roman"/>
          <w:b/>
          <w:sz w:val="24"/>
          <w:szCs w:val="24"/>
        </w:rPr>
      </w:pPr>
      <w:r w:rsidRPr="006A68A4">
        <w:rPr>
          <w:rFonts w:asciiTheme="majorHAnsi" w:hAnsiTheme="majorHAnsi" w:cs="Times New Roman"/>
          <w:b/>
          <w:sz w:val="24"/>
          <w:szCs w:val="24"/>
          <w:u w:val="single"/>
        </w:rPr>
        <w:t>Cost of treatment in urban areas</w:t>
      </w:r>
    </w:p>
    <w:p w:rsidR="006A68A4" w:rsidRPr="006A68A4" w:rsidRDefault="006A68A4" w:rsidP="006A68A4">
      <w:pPr>
        <w:autoSpaceDE w:val="0"/>
        <w:autoSpaceDN w:val="0"/>
        <w:adjustRightInd w:val="0"/>
        <w:spacing w:after="0" w:line="264" w:lineRule="auto"/>
        <w:contextualSpacing/>
        <w:jc w:val="both"/>
        <w:rPr>
          <w:rFonts w:asciiTheme="majorHAnsi" w:hAnsiTheme="majorHAnsi" w:cs="Times New Roman"/>
          <w:sz w:val="24"/>
          <w:szCs w:val="24"/>
        </w:rPr>
      </w:pPr>
      <w:r w:rsidRPr="006A68A4">
        <w:rPr>
          <w:rFonts w:asciiTheme="majorHAnsi" w:hAnsiTheme="majorHAnsi" w:cs="Times New Roman"/>
          <w:sz w:val="24"/>
          <w:szCs w:val="24"/>
        </w:rPr>
        <w:t>NSSO collects the data on expenses incurred for medical treatment which was collected separately for each case of hospitalisation for hospitalised treatment, but in the case of non hospitalised treatment, for the ailing person as a whole irrespective of the number of spells and type of ailment or hospitalisation. Data for the cost of treatment from NSSO 60</w:t>
      </w:r>
      <w:r w:rsidRPr="006A68A4">
        <w:rPr>
          <w:rFonts w:asciiTheme="majorHAnsi" w:hAnsiTheme="majorHAnsi" w:cs="Times New Roman"/>
          <w:sz w:val="24"/>
          <w:szCs w:val="24"/>
          <w:vertAlign w:val="superscript"/>
        </w:rPr>
        <w:t>th</w:t>
      </w:r>
      <w:r w:rsidRPr="006A68A4">
        <w:rPr>
          <w:rFonts w:asciiTheme="majorHAnsi" w:hAnsiTheme="majorHAnsi" w:cs="Times New Roman"/>
          <w:sz w:val="24"/>
          <w:szCs w:val="24"/>
        </w:rPr>
        <w:t xml:space="preserve"> Round (2004) is presented below.</w:t>
      </w:r>
    </w:p>
    <w:p w:rsidR="006A68A4" w:rsidRPr="006A68A4" w:rsidRDefault="006A68A4" w:rsidP="006A68A4">
      <w:pPr>
        <w:autoSpaceDE w:val="0"/>
        <w:autoSpaceDN w:val="0"/>
        <w:adjustRightInd w:val="0"/>
        <w:spacing w:after="0" w:line="264" w:lineRule="auto"/>
        <w:contextualSpacing/>
        <w:jc w:val="both"/>
        <w:rPr>
          <w:rFonts w:asciiTheme="majorHAnsi" w:hAnsiTheme="majorHAnsi" w:cs="Times New Roman"/>
          <w:b/>
          <w:sz w:val="24"/>
          <w:szCs w:val="24"/>
        </w:rPr>
      </w:pPr>
    </w:p>
    <w:p w:rsidR="006A68A4" w:rsidRPr="006A68A4" w:rsidRDefault="006A68A4" w:rsidP="006A68A4">
      <w:pPr>
        <w:autoSpaceDE w:val="0"/>
        <w:autoSpaceDN w:val="0"/>
        <w:adjustRightInd w:val="0"/>
        <w:spacing w:after="0" w:line="264" w:lineRule="auto"/>
        <w:contextualSpacing/>
        <w:jc w:val="both"/>
        <w:rPr>
          <w:rFonts w:asciiTheme="majorHAnsi" w:hAnsiTheme="majorHAnsi" w:cs="Times New Roman"/>
          <w:b/>
          <w:sz w:val="24"/>
          <w:szCs w:val="24"/>
        </w:rPr>
      </w:pPr>
      <w:r w:rsidRPr="006A68A4">
        <w:rPr>
          <w:rFonts w:asciiTheme="majorHAnsi" w:hAnsiTheme="majorHAnsi" w:cs="Times New Roman"/>
          <w:b/>
          <w:sz w:val="24"/>
          <w:szCs w:val="24"/>
        </w:rPr>
        <w:t>Average Expenditure for Non-hospitalised Treatment per Ailing Person</w:t>
      </w:r>
      <w:r w:rsidRPr="006A68A4">
        <w:rPr>
          <w:rFonts w:asciiTheme="majorHAnsi" w:hAnsiTheme="majorHAnsi" w:cs="Times New Roman"/>
          <w:sz w:val="24"/>
          <w:szCs w:val="24"/>
        </w:rPr>
        <w:t xml:space="preserve">: </w:t>
      </w:r>
    </w:p>
    <w:p w:rsidR="006A68A4" w:rsidRPr="006A68A4" w:rsidRDefault="006A68A4" w:rsidP="006A68A4">
      <w:pPr>
        <w:autoSpaceDE w:val="0"/>
        <w:autoSpaceDN w:val="0"/>
        <w:adjustRightInd w:val="0"/>
        <w:spacing w:after="0" w:line="264" w:lineRule="auto"/>
        <w:contextualSpacing/>
        <w:jc w:val="both"/>
        <w:rPr>
          <w:rFonts w:asciiTheme="majorHAnsi" w:hAnsiTheme="majorHAnsi" w:cs="Times New Roman"/>
          <w:sz w:val="24"/>
          <w:szCs w:val="24"/>
        </w:rPr>
      </w:pPr>
      <w:r w:rsidRPr="006A68A4">
        <w:rPr>
          <w:rFonts w:asciiTheme="majorHAnsi" w:hAnsiTheme="majorHAnsi" w:cs="Times New Roman"/>
          <w:sz w:val="24"/>
          <w:szCs w:val="24"/>
        </w:rPr>
        <w:t>Table 1 gives the estimates of medical expenditure incurred per treated person for different monthly per capita consumer expenditure classes for non hospitalised treatment during a period of 15 days. It is seen that, on an average, a higher amount was spent for non-hospitalised treatment for an ailing person in the urban areas than that for a ailing person in the rural areas.</w:t>
      </w:r>
    </w:p>
    <w:p w:rsidR="006A68A4" w:rsidRPr="006A68A4" w:rsidRDefault="006A68A4" w:rsidP="006A68A4">
      <w:pPr>
        <w:autoSpaceDE w:val="0"/>
        <w:autoSpaceDN w:val="0"/>
        <w:adjustRightInd w:val="0"/>
        <w:spacing w:after="0" w:line="264" w:lineRule="auto"/>
        <w:contextualSpacing/>
        <w:jc w:val="both"/>
        <w:rPr>
          <w:rFonts w:asciiTheme="majorHAnsi" w:hAnsiTheme="majorHAnsi" w:cs="Times New Roman"/>
          <w:sz w:val="24"/>
          <w:szCs w:val="24"/>
        </w:rPr>
      </w:pPr>
    </w:p>
    <w:p w:rsidR="006A68A4" w:rsidRPr="006A68A4" w:rsidRDefault="006A68A4" w:rsidP="006A68A4">
      <w:pPr>
        <w:autoSpaceDE w:val="0"/>
        <w:autoSpaceDN w:val="0"/>
        <w:adjustRightInd w:val="0"/>
        <w:spacing w:after="0" w:line="264" w:lineRule="auto"/>
        <w:contextualSpacing/>
        <w:jc w:val="both"/>
        <w:rPr>
          <w:rFonts w:asciiTheme="majorHAnsi" w:hAnsiTheme="majorHAnsi" w:cs="Times New Roman"/>
          <w:sz w:val="24"/>
          <w:szCs w:val="24"/>
        </w:rPr>
      </w:pPr>
      <w:r w:rsidRPr="006A68A4">
        <w:rPr>
          <w:rFonts w:asciiTheme="majorHAnsi" w:hAnsiTheme="majorHAnsi" w:cs="Times New Roman"/>
          <w:noProof/>
          <w:sz w:val="24"/>
          <w:szCs w:val="24"/>
        </w:rPr>
        <w:lastRenderedPageBreak/>
        <w:drawing>
          <wp:anchor distT="0" distB="0" distL="114300" distR="114300" simplePos="0" relativeHeight="251668480" behindDoc="1" locked="0" layoutInCell="1" allowOverlap="1">
            <wp:simplePos x="0" y="0"/>
            <wp:positionH relativeFrom="column">
              <wp:posOffset>20320</wp:posOffset>
            </wp:positionH>
            <wp:positionV relativeFrom="paragraph">
              <wp:posOffset>194945</wp:posOffset>
            </wp:positionV>
            <wp:extent cx="2816860" cy="2237105"/>
            <wp:effectExtent l="19050" t="19050" r="78740" b="29845"/>
            <wp:wrapTight wrapText="bothSides">
              <wp:wrapPolygon edited="0">
                <wp:start x="0" y="-184"/>
                <wp:lineTo x="-146" y="21888"/>
                <wp:lineTo x="21912" y="21888"/>
                <wp:lineTo x="22204" y="20601"/>
                <wp:lineTo x="22204" y="1471"/>
                <wp:lineTo x="22058" y="184"/>
                <wp:lineTo x="21766" y="-184"/>
                <wp:lineTo x="0" y="-184"/>
              </wp:wrapPolygon>
            </wp:wrapTight>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816860" cy="223710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anchor>
        </w:drawing>
      </w:r>
      <w:r w:rsidRPr="006A68A4">
        <w:rPr>
          <w:rFonts w:asciiTheme="majorHAnsi" w:hAnsiTheme="majorHAnsi" w:cs="Times New Roman"/>
          <w:sz w:val="24"/>
          <w:szCs w:val="24"/>
        </w:rPr>
        <w:t xml:space="preserve">The total </w:t>
      </w:r>
      <w:r w:rsidRPr="006A68A4">
        <w:rPr>
          <w:rFonts w:asciiTheme="majorHAnsi" w:hAnsiTheme="majorHAnsi" w:cs="Times New Roman"/>
          <w:iCs/>
          <w:sz w:val="24"/>
          <w:szCs w:val="24"/>
        </w:rPr>
        <w:t xml:space="preserve">medical </w:t>
      </w:r>
      <w:r w:rsidRPr="006A68A4">
        <w:rPr>
          <w:rFonts w:asciiTheme="majorHAnsi" w:hAnsiTheme="majorHAnsi" w:cs="Times New Roman"/>
          <w:sz w:val="24"/>
          <w:szCs w:val="24"/>
        </w:rPr>
        <w:t>expenditure has been divided into two parts – thepart paid to the government sources and the other to theprivate sources for availing the total service fortreatment of the ailment. As stated before, the</w:t>
      </w:r>
      <w:r w:rsidRPr="006A68A4">
        <w:rPr>
          <w:rFonts w:asciiTheme="majorHAnsi" w:hAnsiTheme="majorHAnsi" w:cs="Times New Roman"/>
          <w:iCs/>
          <w:sz w:val="24"/>
          <w:szCs w:val="24"/>
        </w:rPr>
        <w:t xml:space="preserve"> other expenditure </w:t>
      </w:r>
      <w:r w:rsidRPr="006A68A4">
        <w:rPr>
          <w:rFonts w:asciiTheme="majorHAnsi" w:hAnsiTheme="majorHAnsi" w:cs="Times New Roman"/>
          <w:sz w:val="24"/>
          <w:szCs w:val="24"/>
        </w:rPr>
        <w:t xml:space="preserve">relates to the treatment but noton medical purposes. It is seen that the </w:t>
      </w:r>
      <w:r w:rsidRPr="006A68A4">
        <w:rPr>
          <w:rFonts w:asciiTheme="majorHAnsi" w:hAnsiTheme="majorHAnsi" w:cs="Times New Roman"/>
          <w:iCs/>
          <w:sz w:val="24"/>
          <w:szCs w:val="24"/>
        </w:rPr>
        <w:t xml:space="preserve">total expenditure </w:t>
      </w:r>
      <w:r w:rsidRPr="006A68A4">
        <w:rPr>
          <w:rFonts w:asciiTheme="majorHAnsi" w:hAnsiTheme="majorHAnsi" w:cs="Times New Roman"/>
          <w:sz w:val="24"/>
          <w:szCs w:val="24"/>
        </w:rPr>
        <w:t xml:space="preserve">incurred on non-hospitalisedtreatment is broadly positively correlated withlevels of living measured in terms of MPCE. </w:t>
      </w:r>
      <w:r w:rsidRPr="006A68A4">
        <w:rPr>
          <w:rFonts w:asciiTheme="majorHAnsi" w:hAnsiTheme="majorHAnsi" w:cs="Times New Roman"/>
          <w:b/>
          <w:sz w:val="24"/>
          <w:szCs w:val="24"/>
        </w:rPr>
        <w:t xml:space="preserve">Theaverage </w:t>
      </w:r>
      <w:r w:rsidRPr="006A68A4">
        <w:rPr>
          <w:rFonts w:asciiTheme="majorHAnsi" w:hAnsiTheme="majorHAnsi" w:cs="Times New Roman"/>
          <w:b/>
          <w:iCs/>
          <w:sz w:val="24"/>
          <w:szCs w:val="24"/>
        </w:rPr>
        <w:t xml:space="preserve">total expenditure </w:t>
      </w:r>
      <w:r w:rsidRPr="006A68A4">
        <w:rPr>
          <w:rFonts w:asciiTheme="majorHAnsi" w:hAnsiTheme="majorHAnsi" w:cs="Times New Roman"/>
          <w:b/>
          <w:sz w:val="24"/>
          <w:szCs w:val="24"/>
        </w:rPr>
        <w:t>for treatment, in urbanareas, was Rs. 326 -- much higher than that in therural areas (Rs. 285).</w:t>
      </w:r>
    </w:p>
    <w:p w:rsidR="006A68A4" w:rsidRPr="006A68A4" w:rsidRDefault="006A68A4" w:rsidP="006A68A4">
      <w:pPr>
        <w:autoSpaceDE w:val="0"/>
        <w:autoSpaceDN w:val="0"/>
        <w:adjustRightInd w:val="0"/>
        <w:spacing w:after="0" w:line="264" w:lineRule="auto"/>
        <w:contextualSpacing/>
        <w:jc w:val="both"/>
        <w:rPr>
          <w:rFonts w:asciiTheme="majorHAnsi" w:hAnsiTheme="majorHAnsi" w:cs="Times New Roman"/>
          <w:sz w:val="24"/>
          <w:szCs w:val="24"/>
        </w:rPr>
      </w:pPr>
    </w:p>
    <w:p w:rsidR="006A68A4" w:rsidRPr="006A68A4" w:rsidRDefault="006A68A4" w:rsidP="006A68A4">
      <w:pPr>
        <w:autoSpaceDE w:val="0"/>
        <w:autoSpaceDN w:val="0"/>
        <w:adjustRightInd w:val="0"/>
        <w:spacing w:after="0" w:line="264" w:lineRule="auto"/>
        <w:contextualSpacing/>
        <w:jc w:val="both"/>
        <w:rPr>
          <w:rFonts w:asciiTheme="majorHAnsi" w:hAnsiTheme="majorHAnsi" w:cs="Times New Roman"/>
          <w:b/>
          <w:sz w:val="24"/>
          <w:szCs w:val="24"/>
        </w:rPr>
      </w:pPr>
      <w:r w:rsidRPr="006A68A4">
        <w:rPr>
          <w:rFonts w:asciiTheme="majorHAnsi" w:hAnsiTheme="majorHAnsi" w:cs="Times New Roman"/>
          <w:b/>
          <w:sz w:val="24"/>
          <w:szCs w:val="24"/>
        </w:rPr>
        <w:t>Table 1 (Source: NSSO 60</w:t>
      </w:r>
      <w:r w:rsidRPr="006A68A4">
        <w:rPr>
          <w:rFonts w:asciiTheme="majorHAnsi" w:hAnsiTheme="majorHAnsi" w:cs="Times New Roman"/>
          <w:b/>
          <w:sz w:val="24"/>
          <w:szCs w:val="24"/>
          <w:vertAlign w:val="superscript"/>
        </w:rPr>
        <w:t>TH</w:t>
      </w:r>
      <w:r w:rsidRPr="006A68A4">
        <w:rPr>
          <w:rFonts w:asciiTheme="majorHAnsi" w:hAnsiTheme="majorHAnsi" w:cs="Times New Roman"/>
          <w:b/>
          <w:sz w:val="24"/>
          <w:szCs w:val="24"/>
        </w:rPr>
        <w:t xml:space="preserve"> Round)</w:t>
      </w:r>
    </w:p>
    <w:p w:rsidR="006A68A4" w:rsidRPr="006A68A4" w:rsidRDefault="006A68A4" w:rsidP="006A68A4">
      <w:pPr>
        <w:autoSpaceDE w:val="0"/>
        <w:autoSpaceDN w:val="0"/>
        <w:adjustRightInd w:val="0"/>
        <w:spacing w:after="0" w:line="264" w:lineRule="auto"/>
        <w:contextualSpacing/>
        <w:jc w:val="both"/>
        <w:rPr>
          <w:rFonts w:asciiTheme="majorHAnsi" w:hAnsiTheme="majorHAnsi" w:cs="Times New Roman"/>
          <w:b/>
          <w:sz w:val="24"/>
          <w:szCs w:val="24"/>
        </w:rPr>
      </w:pPr>
    </w:p>
    <w:p w:rsidR="006A68A4" w:rsidRPr="006A68A4" w:rsidRDefault="006A68A4" w:rsidP="006A68A4">
      <w:pPr>
        <w:autoSpaceDE w:val="0"/>
        <w:autoSpaceDN w:val="0"/>
        <w:adjustRightInd w:val="0"/>
        <w:spacing w:after="0" w:line="264" w:lineRule="auto"/>
        <w:contextualSpacing/>
        <w:jc w:val="both"/>
        <w:rPr>
          <w:rFonts w:asciiTheme="majorHAnsi" w:hAnsiTheme="majorHAnsi" w:cs="Times New Roman"/>
          <w:sz w:val="24"/>
          <w:szCs w:val="24"/>
        </w:rPr>
      </w:pPr>
      <w:r w:rsidRPr="006A68A4">
        <w:rPr>
          <w:rFonts w:asciiTheme="majorHAnsi" w:hAnsiTheme="majorHAnsi" w:cs="Times New Roman"/>
          <w:b/>
          <w:sz w:val="24"/>
          <w:szCs w:val="24"/>
        </w:rPr>
        <w:t>Inter-state Variation in Total Expenditure per Non-hospitalised Ailing Person</w:t>
      </w:r>
      <w:r w:rsidRPr="006A68A4">
        <w:rPr>
          <w:rFonts w:asciiTheme="majorHAnsi" w:hAnsiTheme="majorHAnsi" w:cs="Times New Roman"/>
          <w:sz w:val="24"/>
          <w:szCs w:val="24"/>
        </w:rPr>
        <w:t>: It is seen that the average total expenditure per treated ailment was Rs.285 and Rs.326 in rural and urban areas respectively at the all India level. The medical expenditure per treated ailment varied widely across the states.  In the rural areas, it varied from Rs.182 in Kerala to Rs.390 in Rajasthan, and in the urban areas, from Rs.193 in Kerala to Rs. 443 in Jammu &amp; Kashmir. Note that in Kerala, the proportion of cases treated through govt. institutions was also very high. The other states reporting relatively low medical expenditure per treated ailment in the rural areas were Tamil Nadu (Rs.184), Gujarat (Rs.206) and West Bengal (Rs.207). In the urban areas, besides Kerala, relatively low expenditure per treated ailment was reported in Uttaranchal (Rs. 250), Chhattisgarh (Rs.276) and Haryana as well as in Tamil Nadu (Rs.277). Interestingly, contrary to what is observed for most of the states as well as for the country as a whole, Uttar Pradesh, Uttaranchal and Haryana reported a higher medical expenditure per treated ailment in the rural areas than in the urban areas (Table 2).</w:t>
      </w:r>
    </w:p>
    <w:p w:rsidR="006A68A4" w:rsidRPr="006A68A4" w:rsidRDefault="006A68A4" w:rsidP="006A68A4">
      <w:pPr>
        <w:spacing w:line="264" w:lineRule="auto"/>
        <w:contextualSpacing/>
        <w:rPr>
          <w:rFonts w:asciiTheme="majorHAnsi" w:hAnsiTheme="majorHAnsi" w:cs="Times New Roman"/>
          <w:sz w:val="24"/>
          <w:szCs w:val="24"/>
        </w:rPr>
      </w:pPr>
    </w:p>
    <w:p w:rsidR="006A68A4" w:rsidRPr="006A68A4" w:rsidRDefault="006A68A4" w:rsidP="006A68A4">
      <w:pPr>
        <w:spacing w:line="264" w:lineRule="auto"/>
        <w:contextualSpacing/>
        <w:rPr>
          <w:rFonts w:asciiTheme="majorHAnsi" w:hAnsiTheme="majorHAnsi" w:cs="Times New Roman"/>
          <w:sz w:val="24"/>
          <w:szCs w:val="24"/>
        </w:rPr>
      </w:pPr>
      <w:r w:rsidRPr="006A68A4">
        <w:rPr>
          <w:rFonts w:asciiTheme="majorHAnsi" w:hAnsiTheme="majorHAnsi" w:cs="Times New Roman"/>
          <w:sz w:val="24"/>
          <w:szCs w:val="24"/>
        </w:rPr>
        <w:lastRenderedPageBreak/>
        <w:t>Table 2 (Source: NSSO 60</w:t>
      </w:r>
      <w:r w:rsidRPr="006A68A4">
        <w:rPr>
          <w:rFonts w:asciiTheme="majorHAnsi" w:hAnsiTheme="majorHAnsi" w:cs="Times New Roman"/>
          <w:sz w:val="24"/>
          <w:szCs w:val="24"/>
          <w:vertAlign w:val="superscript"/>
        </w:rPr>
        <w:t>TH</w:t>
      </w:r>
      <w:r w:rsidRPr="006A68A4">
        <w:rPr>
          <w:rFonts w:asciiTheme="majorHAnsi" w:hAnsiTheme="majorHAnsi" w:cs="Times New Roman"/>
          <w:sz w:val="24"/>
          <w:szCs w:val="24"/>
        </w:rPr>
        <w:t xml:space="preserve"> Round)</w:t>
      </w:r>
      <w:r w:rsidRPr="006A68A4">
        <w:rPr>
          <w:rFonts w:asciiTheme="majorHAnsi" w:hAnsiTheme="majorHAnsi" w:cs="Times New Roman"/>
          <w:noProof/>
          <w:sz w:val="24"/>
          <w:szCs w:val="24"/>
        </w:rPr>
        <w:drawing>
          <wp:inline distT="0" distB="0" distL="0" distR="0">
            <wp:extent cx="5539837" cy="4494363"/>
            <wp:effectExtent l="19050" t="0" r="3713"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540082" cy="4494562"/>
                    </a:xfrm>
                    <a:prstGeom prst="rect">
                      <a:avLst/>
                    </a:prstGeom>
                    <a:noFill/>
                    <a:ln w="9525">
                      <a:noFill/>
                      <a:miter lim="800000"/>
                      <a:headEnd/>
                      <a:tailEnd/>
                    </a:ln>
                  </pic:spPr>
                </pic:pic>
              </a:graphicData>
            </a:graphic>
          </wp:inline>
        </w:drawing>
      </w:r>
    </w:p>
    <w:p w:rsidR="006A68A4" w:rsidRPr="006A68A4" w:rsidRDefault="006A68A4" w:rsidP="006A68A4">
      <w:pPr>
        <w:spacing w:line="264" w:lineRule="auto"/>
        <w:contextualSpacing/>
        <w:jc w:val="both"/>
        <w:rPr>
          <w:rFonts w:asciiTheme="majorHAnsi" w:hAnsiTheme="majorHAnsi" w:cs="Times New Roman"/>
          <w:sz w:val="24"/>
          <w:szCs w:val="24"/>
        </w:rPr>
      </w:pPr>
    </w:p>
    <w:p w:rsidR="006A68A4" w:rsidRPr="006A68A4" w:rsidRDefault="001913F1" w:rsidP="006A68A4">
      <w:pPr>
        <w:spacing w:line="264" w:lineRule="auto"/>
        <w:contextualSpacing/>
        <w:jc w:val="both"/>
        <w:rPr>
          <w:rFonts w:asciiTheme="majorHAnsi" w:hAnsiTheme="majorHAnsi" w:cs="Times New Roman"/>
          <w:sz w:val="24"/>
          <w:szCs w:val="24"/>
        </w:rPr>
      </w:pPr>
      <w:r w:rsidRPr="006A68A4">
        <w:rPr>
          <w:rFonts w:asciiTheme="majorHAnsi" w:hAnsiTheme="majorHAnsi" w:cs="Times New Roman"/>
          <w:b/>
          <w:noProof/>
          <w:sz w:val="24"/>
          <w:szCs w:val="24"/>
        </w:rPr>
        <w:drawing>
          <wp:anchor distT="0" distB="0" distL="114300" distR="114300" simplePos="0" relativeHeight="251669504" behindDoc="1" locked="0" layoutInCell="1" allowOverlap="1">
            <wp:simplePos x="0" y="0"/>
            <wp:positionH relativeFrom="column">
              <wp:posOffset>15240</wp:posOffset>
            </wp:positionH>
            <wp:positionV relativeFrom="paragraph">
              <wp:posOffset>203200</wp:posOffset>
            </wp:positionV>
            <wp:extent cx="2679700" cy="2753995"/>
            <wp:effectExtent l="0" t="0" r="6350" b="8255"/>
            <wp:wrapTight wrapText="bothSides">
              <wp:wrapPolygon edited="0">
                <wp:start x="0" y="0"/>
                <wp:lineTo x="0" y="21515"/>
                <wp:lineTo x="21498" y="21515"/>
                <wp:lineTo x="21498" y="0"/>
                <wp:lineTo x="0" y="0"/>
              </wp:wrapPolygon>
            </wp:wrapTight>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2679700" cy="2753995"/>
                    </a:xfrm>
                    <a:prstGeom prst="rect">
                      <a:avLst/>
                    </a:prstGeom>
                    <a:noFill/>
                    <a:ln w="9525">
                      <a:noFill/>
                      <a:miter lim="800000"/>
                      <a:headEnd/>
                      <a:tailEnd/>
                    </a:ln>
                  </pic:spPr>
                </pic:pic>
              </a:graphicData>
            </a:graphic>
          </wp:anchor>
        </w:drawing>
      </w:r>
      <w:r w:rsidR="006A68A4" w:rsidRPr="006A68A4">
        <w:rPr>
          <w:rFonts w:asciiTheme="majorHAnsi" w:hAnsiTheme="majorHAnsi" w:cs="Times New Roman"/>
          <w:sz w:val="24"/>
          <w:szCs w:val="24"/>
        </w:rPr>
        <w:t>Table 3 (Source: NSSO 60</w:t>
      </w:r>
      <w:r w:rsidR="006A68A4" w:rsidRPr="006A68A4">
        <w:rPr>
          <w:rFonts w:asciiTheme="majorHAnsi" w:hAnsiTheme="majorHAnsi" w:cs="Times New Roman"/>
          <w:sz w:val="24"/>
          <w:szCs w:val="24"/>
          <w:vertAlign w:val="superscript"/>
        </w:rPr>
        <w:t>TH</w:t>
      </w:r>
      <w:r w:rsidR="006A68A4" w:rsidRPr="006A68A4">
        <w:rPr>
          <w:rFonts w:asciiTheme="majorHAnsi" w:hAnsiTheme="majorHAnsi" w:cs="Times New Roman"/>
          <w:sz w:val="24"/>
          <w:szCs w:val="24"/>
        </w:rPr>
        <w:t xml:space="preserve"> Round)</w:t>
      </w:r>
    </w:p>
    <w:p w:rsidR="006A68A4" w:rsidRDefault="006A68A4" w:rsidP="006A68A4">
      <w:pPr>
        <w:spacing w:line="264" w:lineRule="auto"/>
        <w:contextualSpacing/>
        <w:jc w:val="both"/>
        <w:rPr>
          <w:rFonts w:asciiTheme="majorHAnsi" w:hAnsiTheme="majorHAnsi" w:cs="Times New Roman"/>
          <w:sz w:val="24"/>
          <w:szCs w:val="24"/>
        </w:rPr>
      </w:pPr>
      <w:r w:rsidRPr="006A68A4">
        <w:rPr>
          <w:rFonts w:asciiTheme="majorHAnsi" w:hAnsiTheme="majorHAnsi" w:cs="Times New Roman"/>
          <w:b/>
          <w:sz w:val="24"/>
          <w:szCs w:val="24"/>
        </w:rPr>
        <w:t>Average Expenditure for Hospitalized Treatment per ailing person:</w:t>
      </w:r>
      <w:r w:rsidRPr="006A68A4">
        <w:rPr>
          <w:rFonts w:asciiTheme="majorHAnsi" w:hAnsiTheme="majorHAnsi" w:cs="Times New Roman"/>
          <w:sz w:val="24"/>
          <w:szCs w:val="24"/>
        </w:rPr>
        <w:t xml:space="preserve"> It is seen that, on an average, a much higher amount was spent for treatment per hospitalised case by people in the urban (Rs. 8,851) than in the rural (Rs. 5,695). Another point to be noted is that the expenditure for inpatient treatment in the hospitals has increased substantially since 1996-97 – from Rs. 3,202 to Rs. 5,695 in the rural areas and from Rs. 3,921 to Rs. 8,851 in the urban areas (Table 3). </w:t>
      </w:r>
    </w:p>
    <w:p w:rsidR="001913F1" w:rsidRDefault="001913F1" w:rsidP="006A68A4">
      <w:pPr>
        <w:spacing w:line="264" w:lineRule="auto"/>
        <w:contextualSpacing/>
        <w:jc w:val="both"/>
        <w:rPr>
          <w:rFonts w:asciiTheme="majorHAnsi" w:hAnsiTheme="majorHAnsi" w:cs="Times New Roman"/>
          <w:sz w:val="24"/>
          <w:szCs w:val="24"/>
        </w:rPr>
      </w:pPr>
    </w:p>
    <w:p w:rsidR="001913F1" w:rsidRDefault="001913F1" w:rsidP="006A68A4">
      <w:pPr>
        <w:spacing w:line="264" w:lineRule="auto"/>
        <w:contextualSpacing/>
        <w:jc w:val="both"/>
        <w:rPr>
          <w:rFonts w:asciiTheme="majorHAnsi" w:hAnsiTheme="majorHAnsi" w:cs="Times New Roman"/>
          <w:sz w:val="24"/>
          <w:szCs w:val="24"/>
        </w:rPr>
      </w:pPr>
    </w:p>
    <w:p w:rsidR="001913F1" w:rsidRDefault="001913F1" w:rsidP="006A68A4">
      <w:pPr>
        <w:spacing w:line="264" w:lineRule="auto"/>
        <w:contextualSpacing/>
        <w:jc w:val="both"/>
        <w:rPr>
          <w:rFonts w:asciiTheme="majorHAnsi" w:hAnsiTheme="majorHAnsi" w:cs="Times New Roman"/>
          <w:sz w:val="24"/>
          <w:szCs w:val="24"/>
        </w:rPr>
      </w:pPr>
    </w:p>
    <w:p w:rsidR="001913F1" w:rsidRDefault="001913F1" w:rsidP="006A68A4">
      <w:pPr>
        <w:spacing w:line="264" w:lineRule="auto"/>
        <w:contextualSpacing/>
        <w:jc w:val="both"/>
        <w:rPr>
          <w:rFonts w:asciiTheme="majorHAnsi" w:hAnsiTheme="majorHAnsi" w:cs="Times New Roman"/>
          <w:sz w:val="24"/>
          <w:szCs w:val="24"/>
        </w:rPr>
      </w:pPr>
    </w:p>
    <w:p w:rsidR="0076468F" w:rsidRPr="006A68A4" w:rsidRDefault="0076468F" w:rsidP="006A68A4">
      <w:pPr>
        <w:spacing w:line="264" w:lineRule="auto"/>
        <w:contextualSpacing/>
        <w:jc w:val="both"/>
        <w:rPr>
          <w:rFonts w:asciiTheme="majorHAnsi" w:hAnsiTheme="majorHAnsi" w:cs="Times New Roman"/>
          <w:sz w:val="24"/>
          <w:szCs w:val="24"/>
        </w:rPr>
      </w:pPr>
    </w:p>
    <w:p w:rsidR="006A68A4" w:rsidRPr="006A68A4" w:rsidRDefault="006A68A4" w:rsidP="006A68A4">
      <w:pPr>
        <w:autoSpaceDE w:val="0"/>
        <w:autoSpaceDN w:val="0"/>
        <w:adjustRightInd w:val="0"/>
        <w:spacing w:after="0" w:line="264" w:lineRule="auto"/>
        <w:contextualSpacing/>
        <w:rPr>
          <w:rFonts w:asciiTheme="majorHAnsi" w:hAnsiTheme="majorHAnsi" w:cs="Times New Roman"/>
          <w:sz w:val="24"/>
          <w:szCs w:val="24"/>
        </w:rPr>
      </w:pPr>
      <w:r w:rsidRPr="006A68A4">
        <w:rPr>
          <w:rFonts w:asciiTheme="majorHAnsi" w:hAnsiTheme="majorHAnsi" w:cs="Times New Roman"/>
          <w:sz w:val="24"/>
          <w:szCs w:val="24"/>
        </w:rPr>
        <w:lastRenderedPageBreak/>
        <w:t>Interstate variation in treatment cost for hospitalization is shown in Table 4 below.</w:t>
      </w:r>
    </w:p>
    <w:p w:rsidR="006A68A4" w:rsidRPr="006A68A4" w:rsidRDefault="006A68A4" w:rsidP="006A68A4">
      <w:pPr>
        <w:autoSpaceDE w:val="0"/>
        <w:autoSpaceDN w:val="0"/>
        <w:adjustRightInd w:val="0"/>
        <w:spacing w:after="0" w:line="264" w:lineRule="auto"/>
        <w:contextualSpacing/>
        <w:rPr>
          <w:rFonts w:asciiTheme="majorHAnsi" w:hAnsiTheme="majorHAnsi" w:cs="Times New Roman"/>
          <w:noProof/>
          <w:sz w:val="24"/>
          <w:szCs w:val="24"/>
        </w:rPr>
      </w:pPr>
    </w:p>
    <w:p w:rsidR="006A68A4" w:rsidRPr="006A68A4" w:rsidRDefault="006A68A4" w:rsidP="006A68A4">
      <w:pPr>
        <w:autoSpaceDE w:val="0"/>
        <w:autoSpaceDN w:val="0"/>
        <w:adjustRightInd w:val="0"/>
        <w:spacing w:after="0" w:line="264" w:lineRule="auto"/>
        <w:contextualSpacing/>
        <w:rPr>
          <w:rFonts w:asciiTheme="majorHAnsi" w:hAnsiTheme="majorHAnsi" w:cs="Times New Roman"/>
          <w:noProof/>
          <w:sz w:val="24"/>
          <w:szCs w:val="24"/>
        </w:rPr>
      </w:pPr>
      <w:r w:rsidRPr="006A68A4">
        <w:rPr>
          <w:rFonts w:asciiTheme="majorHAnsi" w:hAnsiTheme="majorHAnsi" w:cs="Times New Roman"/>
          <w:noProof/>
          <w:sz w:val="24"/>
          <w:szCs w:val="24"/>
        </w:rPr>
        <w:t>Table 4 (Source: NSSO 60</w:t>
      </w:r>
      <w:r w:rsidRPr="006A68A4">
        <w:rPr>
          <w:rFonts w:asciiTheme="majorHAnsi" w:hAnsiTheme="majorHAnsi" w:cs="Times New Roman"/>
          <w:noProof/>
          <w:sz w:val="24"/>
          <w:szCs w:val="24"/>
          <w:vertAlign w:val="superscript"/>
        </w:rPr>
        <w:t>th</w:t>
      </w:r>
      <w:r w:rsidRPr="006A68A4">
        <w:rPr>
          <w:rFonts w:asciiTheme="majorHAnsi" w:hAnsiTheme="majorHAnsi" w:cs="Times New Roman"/>
          <w:noProof/>
          <w:sz w:val="24"/>
          <w:szCs w:val="24"/>
        </w:rPr>
        <w:t xml:space="preserve"> Round)</w:t>
      </w:r>
    </w:p>
    <w:p w:rsidR="006A68A4" w:rsidRPr="006A68A4" w:rsidRDefault="006A68A4" w:rsidP="006A68A4">
      <w:pPr>
        <w:autoSpaceDE w:val="0"/>
        <w:autoSpaceDN w:val="0"/>
        <w:adjustRightInd w:val="0"/>
        <w:spacing w:after="0" w:line="264" w:lineRule="auto"/>
        <w:contextualSpacing/>
        <w:jc w:val="center"/>
        <w:rPr>
          <w:rFonts w:asciiTheme="majorHAnsi" w:hAnsiTheme="majorHAnsi" w:cs="Times New Roman"/>
          <w:sz w:val="24"/>
          <w:szCs w:val="24"/>
        </w:rPr>
      </w:pPr>
      <w:r w:rsidRPr="006A68A4">
        <w:rPr>
          <w:rFonts w:asciiTheme="majorHAnsi" w:hAnsiTheme="majorHAnsi" w:cs="Times New Roman"/>
          <w:noProof/>
          <w:sz w:val="24"/>
          <w:szCs w:val="24"/>
        </w:rPr>
        <w:drawing>
          <wp:inline distT="0" distB="0" distL="0" distR="0">
            <wp:extent cx="5940690" cy="4442604"/>
            <wp:effectExtent l="19050" t="0" r="291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5943600" cy="4444780"/>
                    </a:xfrm>
                    <a:prstGeom prst="rect">
                      <a:avLst/>
                    </a:prstGeom>
                    <a:noFill/>
                    <a:ln w="9525">
                      <a:noFill/>
                      <a:miter lim="800000"/>
                      <a:headEnd/>
                      <a:tailEnd/>
                    </a:ln>
                  </pic:spPr>
                </pic:pic>
              </a:graphicData>
            </a:graphic>
          </wp:inline>
        </w:drawing>
      </w:r>
    </w:p>
    <w:p w:rsidR="006A68A4" w:rsidRPr="006A68A4" w:rsidRDefault="006A68A4" w:rsidP="006A68A4">
      <w:pPr>
        <w:autoSpaceDE w:val="0"/>
        <w:autoSpaceDN w:val="0"/>
        <w:adjustRightInd w:val="0"/>
        <w:spacing w:after="0" w:line="264" w:lineRule="auto"/>
        <w:contextualSpacing/>
        <w:jc w:val="both"/>
        <w:rPr>
          <w:rFonts w:asciiTheme="majorHAnsi" w:hAnsiTheme="majorHAnsi" w:cs="Times New Roman"/>
          <w:sz w:val="24"/>
          <w:szCs w:val="24"/>
        </w:rPr>
      </w:pPr>
    </w:p>
    <w:p w:rsidR="006A68A4" w:rsidRPr="006A68A4" w:rsidRDefault="006A68A4" w:rsidP="006A68A4">
      <w:pPr>
        <w:autoSpaceDE w:val="0"/>
        <w:autoSpaceDN w:val="0"/>
        <w:adjustRightInd w:val="0"/>
        <w:spacing w:after="0" w:line="264" w:lineRule="auto"/>
        <w:contextualSpacing/>
        <w:jc w:val="both"/>
        <w:rPr>
          <w:rFonts w:asciiTheme="majorHAnsi" w:hAnsiTheme="majorHAnsi" w:cs="Times New Roman"/>
          <w:sz w:val="24"/>
          <w:szCs w:val="24"/>
        </w:rPr>
      </w:pPr>
      <w:r w:rsidRPr="006A68A4">
        <w:rPr>
          <w:rFonts w:asciiTheme="majorHAnsi" w:hAnsiTheme="majorHAnsi" w:cs="Times New Roman"/>
          <w:sz w:val="24"/>
          <w:szCs w:val="24"/>
        </w:rPr>
        <w:t>Like the non-hospitalised treatment, the cost per hospitalisation in a government establishment was lowest in Tamil Nadu (Rs. 637 in the rural areas and Rs. 1,666 in the urban). In fact, it was relatively low in all the southern states, as well as in Gujarat, Maharashtra and West Bengal. Moreover, on an average, the public hospitals were less expensive than the private sector hospitals in the rural and urban areas of all the states, except urban Haryana and Bihar.  The difference between public and private hospitals in average medical expenditure for hospitalised treatment received was more pronounced in the urban areas than in the rural areas (Table 4).</w:t>
      </w:r>
    </w:p>
    <w:p w:rsidR="006A68A4" w:rsidRPr="006A68A4" w:rsidRDefault="006A68A4" w:rsidP="006A68A4">
      <w:pPr>
        <w:autoSpaceDE w:val="0"/>
        <w:autoSpaceDN w:val="0"/>
        <w:adjustRightInd w:val="0"/>
        <w:spacing w:after="0" w:line="264" w:lineRule="auto"/>
        <w:contextualSpacing/>
        <w:jc w:val="both"/>
        <w:rPr>
          <w:rFonts w:asciiTheme="majorHAnsi" w:hAnsiTheme="majorHAnsi" w:cs="Times New Roman"/>
          <w:b/>
          <w:bCs/>
          <w:sz w:val="24"/>
          <w:szCs w:val="24"/>
        </w:rPr>
      </w:pPr>
    </w:p>
    <w:p w:rsidR="006A68A4" w:rsidRPr="006A68A4" w:rsidRDefault="006A68A4" w:rsidP="006A68A4">
      <w:pPr>
        <w:autoSpaceDE w:val="0"/>
        <w:autoSpaceDN w:val="0"/>
        <w:adjustRightInd w:val="0"/>
        <w:spacing w:after="0" w:line="264" w:lineRule="auto"/>
        <w:contextualSpacing/>
        <w:jc w:val="both"/>
        <w:rPr>
          <w:rFonts w:asciiTheme="majorHAnsi" w:hAnsiTheme="majorHAnsi" w:cs="Times New Roman"/>
          <w:b/>
          <w:bCs/>
          <w:sz w:val="24"/>
          <w:szCs w:val="24"/>
        </w:rPr>
      </w:pPr>
      <w:r w:rsidRPr="006A68A4">
        <w:rPr>
          <w:rFonts w:asciiTheme="majorHAnsi" w:hAnsiTheme="majorHAnsi" w:cs="Times New Roman"/>
          <w:b/>
          <w:bCs/>
          <w:sz w:val="24"/>
          <w:szCs w:val="24"/>
        </w:rPr>
        <w:t>Out of Pocket expenditure and its implications:</w:t>
      </w:r>
    </w:p>
    <w:p w:rsidR="006A68A4" w:rsidRPr="006A68A4" w:rsidRDefault="006A68A4" w:rsidP="006A68A4">
      <w:pPr>
        <w:autoSpaceDE w:val="0"/>
        <w:autoSpaceDN w:val="0"/>
        <w:adjustRightInd w:val="0"/>
        <w:spacing w:after="0" w:line="264" w:lineRule="auto"/>
        <w:contextualSpacing/>
        <w:jc w:val="both"/>
        <w:rPr>
          <w:rFonts w:asciiTheme="majorHAnsi" w:hAnsiTheme="majorHAnsi" w:cs="Times New Roman"/>
          <w:sz w:val="24"/>
          <w:szCs w:val="24"/>
        </w:rPr>
      </w:pPr>
      <w:r w:rsidRPr="006A68A4">
        <w:rPr>
          <w:rFonts w:asciiTheme="majorHAnsi" w:hAnsiTheme="majorHAnsi" w:cs="Times New Roman"/>
          <w:sz w:val="24"/>
          <w:szCs w:val="24"/>
        </w:rPr>
        <w:t xml:space="preserve">Out-of-pocket (OOP) payments when cross some threshold share of total household income or expenditure become the catastrophic expenditure and are considered as a major concern in the health financing system of any country. 10% of total expenditure represents an approximate threshold at which the household is forced to sacrifice other basic needs, sell productive assets, incur debt, or be impoverished. </w:t>
      </w:r>
    </w:p>
    <w:p w:rsidR="006A68A4" w:rsidRPr="006A68A4" w:rsidRDefault="006A68A4" w:rsidP="006A68A4">
      <w:pPr>
        <w:autoSpaceDE w:val="0"/>
        <w:autoSpaceDN w:val="0"/>
        <w:adjustRightInd w:val="0"/>
        <w:spacing w:after="0" w:line="264" w:lineRule="auto"/>
        <w:contextualSpacing/>
        <w:jc w:val="both"/>
        <w:rPr>
          <w:rFonts w:asciiTheme="majorHAnsi" w:hAnsiTheme="majorHAnsi" w:cs="Times New Roman"/>
          <w:sz w:val="24"/>
          <w:szCs w:val="24"/>
        </w:rPr>
      </w:pPr>
      <w:r w:rsidRPr="006A68A4">
        <w:rPr>
          <w:rFonts w:asciiTheme="majorHAnsi" w:hAnsiTheme="majorHAnsi" w:cs="Times New Roman"/>
          <w:b/>
          <w:sz w:val="24"/>
          <w:szCs w:val="24"/>
        </w:rPr>
        <w:lastRenderedPageBreak/>
        <w:t>Catastrophic Headcount</w:t>
      </w:r>
    </w:p>
    <w:p w:rsidR="006A68A4" w:rsidRPr="006A68A4" w:rsidRDefault="006A68A4" w:rsidP="006A68A4">
      <w:pPr>
        <w:autoSpaceDE w:val="0"/>
        <w:autoSpaceDN w:val="0"/>
        <w:adjustRightInd w:val="0"/>
        <w:spacing w:after="0" w:line="264" w:lineRule="auto"/>
        <w:contextualSpacing/>
        <w:jc w:val="both"/>
        <w:rPr>
          <w:rFonts w:asciiTheme="majorHAnsi" w:hAnsiTheme="majorHAnsi" w:cs="Times New Roman"/>
          <w:sz w:val="24"/>
          <w:szCs w:val="24"/>
        </w:rPr>
      </w:pPr>
      <w:r w:rsidRPr="006A68A4">
        <w:rPr>
          <w:rFonts w:asciiTheme="majorHAnsi" w:hAnsiTheme="majorHAnsi" w:cs="Times New Roman"/>
          <w:sz w:val="24"/>
          <w:szCs w:val="24"/>
        </w:rPr>
        <w:t>Study by Berman et al (2010) presents analysis of NSSO (60</w:t>
      </w:r>
      <w:r w:rsidRPr="006A68A4">
        <w:rPr>
          <w:rFonts w:asciiTheme="majorHAnsi" w:hAnsiTheme="majorHAnsi" w:cs="Times New Roman"/>
          <w:sz w:val="24"/>
          <w:szCs w:val="24"/>
          <w:vertAlign w:val="superscript"/>
        </w:rPr>
        <w:t>th</w:t>
      </w:r>
      <w:r w:rsidRPr="006A68A4">
        <w:rPr>
          <w:rFonts w:asciiTheme="majorHAnsi" w:hAnsiTheme="majorHAnsi" w:cs="Times New Roman"/>
          <w:sz w:val="24"/>
          <w:szCs w:val="24"/>
        </w:rPr>
        <w:t xml:space="preserve"> round) data with some corrections and new approaches in methodology. It reveals that:</w:t>
      </w:r>
    </w:p>
    <w:p w:rsidR="006A68A4" w:rsidRPr="006A68A4" w:rsidRDefault="006A68A4" w:rsidP="006A68A4">
      <w:pPr>
        <w:autoSpaceDE w:val="0"/>
        <w:autoSpaceDN w:val="0"/>
        <w:adjustRightInd w:val="0"/>
        <w:spacing w:after="0" w:line="264" w:lineRule="auto"/>
        <w:contextualSpacing/>
        <w:jc w:val="both"/>
        <w:rPr>
          <w:rFonts w:asciiTheme="majorHAnsi" w:hAnsiTheme="majorHAnsi" w:cs="Times New Roman"/>
          <w:sz w:val="24"/>
          <w:szCs w:val="24"/>
        </w:rPr>
      </w:pPr>
    </w:p>
    <w:p w:rsidR="006A68A4" w:rsidRPr="006A68A4" w:rsidRDefault="006A68A4" w:rsidP="006A68A4">
      <w:pPr>
        <w:pStyle w:val="ListParagraph"/>
        <w:numPr>
          <w:ilvl w:val="0"/>
          <w:numId w:val="24"/>
        </w:numPr>
        <w:autoSpaceDE w:val="0"/>
        <w:autoSpaceDN w:val="0"/>
        <w:adjustRightInd w:val="0"/>
        <w:spacing w:after="0" w:line="264" w:lineRule="auto"/>
        <w:jc w:val="both"/>
        <w:rPr>
          <w:rFonts w:asciiTheme="majorHAnsi" w:hAnsiTheme="majorHAnsi" w:cs="Times New Roman"/>
          <w:sz w:val="24"/>
          <w:szCs w:val="24"/>
        </w:rPr>
      </w:pPr>
      <w:r w:rsidRPr="006A68A4">
        <w:rPr>
          <w:rFonts w:asciiTheme="majorHAnsi" w:hAnsiTheme="majorHAnsi" w:cs="Times New Roman"/>
          <w:sz w:val="24"/>
          <w:szCs w:val="24"/>
        </w:rPr>
        <w:t xml:space="preserve">6.2% of total households (6.6% in rural and 5% in urban) fall BPL as a result of total healthcare expenditure in 2004. </w:t>
      </w:r>
    </w:p>
    <w:p w:rsidR="006A68A4" w:rsidRPr="006A68A4" w:rsidRDefault="006A68A4" w:rsidP="006A68A4">
      <w:pPr>
        <w:pStyle w:val="ListParagraph"/>
        <w:numPr>
          <w:ilvl w:val="0"/>
          <w:numId w:val="24"/>
        </w:numPr>
        <w:autoSpaceDE w:val="0"/>
        <w:autoSpaceDN w:val="0"/>
        <w:adjustRightInd w:val="0"/>
        <w:spacing w:after="0" w:line="264" w:lineRule="auto"/>
        <w:jc w:val="both"/>
        <w:rPr>
          <w:rFonts w:asciiTheme="majorHAnsi" w:hAnsiTheme="majorHAnsi" w:cs="Times New Roman"/>
          <w:sz w:val="24"/>
          <w:szCs w:val="24"/>
        </w:rPr>
      </w:pPr>
      <w:r w:rsidRPr="006A68A4">
        <w:rPr>
          <w:rFonts w:asciiTheme="majorHAnsi" w:hAnsiTheme="majorHAnsi" w:cs="Times New Roman"/>
          <w:sz w:val="24"/>
          <w:szCs w:val="24"/>
        </w:rPr>
        <w:t xml:space="preserve">Around 1.3% (1.3% in rural and 1.2% in urban) of total households fall BPL due to expenditure on inpatient care while 4.9% (5.3% in rural and 3.8% in urban) of these households fell BPL due to expenditure on outpatient care. </w:t>
      </w:r>
    </w:p>
    <w:p w:rsidR="006A68A4" w:rsidRPr="006A68A4" w:rsidRDefault="006A68A4" w:rsidP="006A68A4">
      <w:pPr>
        <w:pStyle w:val="ListParagraph"/>
        <w:numPr>
          <w:ilvl w:val="0"/>
          <w:numId w:val="24"/>
        </w:numPr>
        <w:autoSpaceDE w:val="0"/>
        <w:autoSpaceDN w:val="0"/>
        <w:adjustRightInd w:val="0"/>
        <w:spacing w:after="0" w:line="264" w:lineRule="auto"/>
        <w:jc w:val="both"/>
        <w:rPr>
          <w:rFonts w:asciiTheme="majorHAnsi" w:hAnsiTheme="majorHAnsi" w:cs="Times New Roman"/>
          <w:sz w:val="24"/>
          <w:szCs w:val="24"/>
        </w:rPr>
      </w:pPr>
      <w:r w:rsidRPr="006A68A4">
        <w:rPr>
          <w:rFonts w:asciiTheme="majorHAnsi" w:hAnsiTheme="majorHAnsi" w:cs="Times New Roman"/>
          <w:sz w:val="24"/>
          <w:szCs w:val="24"/>
        </w:rPr>
        <w:t>In absolute terms, around 63.22 million individuals or 11.88 million households were pushed BPL due to healthcare expenditure in 2004.</w:t>
      </w:r>
    </w:p>
    <w:p w:rsidR="006A68A4" w:rsidRPr="006A68A4" w:rsidRDefault="006A68A4" w:rsidP="006A68A4">
      <w:pPr>
        <w:pStyle w:val="ListParagraph"/>
        <w:numPr>
          <w:ilvl w:val="0"/>
          <w:numId w:val="24"/>
        </w:numPr>
        <w:autoSpaceDE w:val="0"/>
        <w:autoSpaceDN w:val="0"/>
        <w:adjustRightInd w:val="0"/>
        <w:spacing w:after="0" w:line="264" w:lineRule="auto"/>
        <w:jc w:val="both"/>
        <w:rPr>
          <w:rFonts w:asciiTheme="majorHAnsi" w:hAnsiTheme="majorHAnsi" w:cs="Times New Roman"/>
          <w:sz w:val="24"/>
          <w:szCs w:val="24"/>
        </w:rPr>
      </w:pPr>
      <w:r w:rsidRPr="006A68A4">
        <w:rPr>
          <w:rFonts w:asciiTheme="majorHAnsi" w:hAnsiTheme="majorHAnsi" w:cs="Times New Roman"/>
          <w:sz w:val="24"/>
          <w:szCs w:val="24"/>
        </w:rPr>
        <w:t>Out of total, 79.3% of impoverishment is due to outpatient care and only 20.7% of impoverishment is due to inpatient care.</w:t>
      </w:r>
    </w:p>
    <w:p w:rsidR="006A68A4" w:rsidRPr="006A68A4" w:rsidRDefault="006A68A4" w:rsidP="006A68A4">
      <w:pPr>
        <w:pStyle w:val="ListParagraph"/>
        <w:numPr>
          <w:ilvl w:val="0"/>
          <w:numId w:val="24"/>
        </w:numPr>
        <w:autoSpaceDE w:val="0"/>
        <w:autoSpaceDN w:val="0"/>
        <w:adjustRightInd w:val="0"/>
        <w:spacing w:after="0" w:line="264" w:lineRule="auto"/>
        <w:jc w:val="both"/>
        <w:rPr>
          <w:rFonts w:asciiTheme="majorHAnsi" w:hAnsiTheme="majorHAnsi" w:cs="Times New Roman"/>
          <w:sz w:val="24"/>
          <w:szCs w:val="24"/>
        </w:rPr>
      </w:pPr>
      <w:r w:rsidRPr="006A68A4">
        <w:rPr>
          <w:rFonts w:asciiTheme="majorHAnsi" w:hAnsiTheme="majorHAnsi" w:cs="Times New Roman"/>
          <w:sz w:val="24"/>
          <w:szCs w:val="24"/>
        </w:rPr>
        <w:t>Across income quintiles, effect of healthcare related expenses is highest in second poorest quintile in urban areas and middle income quintile in rural areas.</w:t>
      </w:r>
    </w:p>
    <w:p w:rsidR="006A68A4" w:rsidRPr="006A68A4" w:rsidRDefault="006A68A4" w:rsidP="006A68A4">
      <w:pPr>
        <w:autoSpaceDE w:val="0"/>
        <w:autoSpaceDN w:val="0"/>
        <w:adjustRightInd w:val="0"/>
        <w:spacing w:after="0" w:line="264" w:lineRule="auto"/>
        <w:contextualSpacing/>
        <w:jc w:val="both"/>
        <w:rPr>
          <w:rFonts w:asciiTheme="majorHAnsi" w:hAnsiTheme="majorHAnsi" w:cs="Times New Roman"/>
          <w:sz w:val="24"/>
          <w:szCs w:val="24"/>
        </w:rPr>
      </w:pPr>
    </w:p>
    <w:p w:rsidR="006A68A4" w:rsidRPr="006A68A4" w:rsidRDefault="006A68A4" w:rsidP="006A68A4">
      <w:pPr>
        <w:autoSpaceDE w:val="0"/>
        <w:autoSpaceDN w:val="0"/>
        <w:adjustRightInd w:val="0"/>
        <w:spacing w:after="0" w:line="264" w:lineRule="auto"/>
        <w:contextualSpacing/>
        <w:jc w:val="both"/>
        <w:rPr>
          <w:rFonts w:asciiTheme="majorHAnsi" w:hAnsiTheme="majorHAnsi" w:cs="Times New Roman"/>
          <w:sz w:val="24"/>
          <w:szCs w:val="24"/>
        </w:rPr>
      </w:pPr>
    </w:p>
    <w:p w:rsidR="006A68A4" w:rsidRPr="006A68A4" w:rsidRDefault="006A68A4" w:rsidP="006A68A4">
      <w:pPr>
        <w:autoSpaceDE w:val="0"/>
        <w:autoSpaceDN w:val="0"/>
        <w:adjustRightInd w:val="0"/>
        <w:spacing w:after="0" w:line="264" w:lineRule="auto"/>
        <w:contextualSpacing/>
        <w:jc w:val="both"/>
        <w:rPr>
          <w:rFonts w:asciiTheme="majorHAnsi" w:hAnsiTheme="majorHAnsi" w:cs="Times New Roman"/>
          <w:sz w:val="24"/>
          <w:szCs w:val="24"/>
        </w:rPr>
      </w:pPr>
      <w:r w:rsidRPr="006A68A4">
        <w:rPr>
          <w:rFonts w:asciiTheme="majorHAnsi" w:hAnsiTheme="majorHAnsi" w:cs="Times New Roman"/>
          <w:sz w:val="24"/>
          <w:szCs w:val="24"/>
        </w:rPr>
        <w:t xml:space="preserve">Study by Chaudhary 2012 has estimated the extent of impoverishment from OOP medical expenses from 1995-96 to 2004 across states of India and different socio-economic classes. It concluded that 6 million of urban population was impoverished due to OOP medical expenditure. There was substantial increase in it in all the states except Haryana. Among urban dwellers, urban Muslims, scheduled caste, casual labour and lower middle income households were easily the most vulnerable to the financial implications of ill-health. </w:t>
      </w:r>
    </w:p>
    <w:p w:rsidR="006A68A4" w:rsidRPr="006A68A4" w:rsidRDefault="006A68A4" w:rsidP="006A68A4">
      <w:pPr>
        <w:autoSpaceDE w:val="0"/>
        <w:autoSpaceDN w:val="0"/>
        <w:adjustRightInd w:val="0"/>
        <w:spacing w:after="0" w:line="264" w:lineRule="auto"/>
        <w:contextualSpacing/>
        <w:jc w:val="both"/>
        <w:rPr>
          <w:rFonts w:asciiTheme="majorHAnsi" w:hAnsiTheme="majorHAnsi" w:cs="Times New Roman"/>
          <w:sz w:val="24"/>
          <w:szCs w:val="24"/>
        </w:rPr>
      </w:pPr>
    </w:p>
    <w:p w:rsidR="006A68A4" w:rsidRPr="006A68A4" w:rsidRDefault="006A68A4" w:rsidP="006A68A4">
      <w:pPr>
        <w:autoSpaceDE w:val="0"/>
        <w:autoSpaceDN w:val="0"/>
        <w:adjustRightInd w:val="0"/>
        <w:spacing w:after="0" w:line="264" w:lineRule="auto"/>
        <w:contextualSpacing/>
        <w:jc w:val="both"/>
        <w:rPr>
          <w:rFonts w:asciiTheme="majorHAnsi" w:hAnsiTheme="majorHAnsi" w:cs="Times New Roman"/>
          <w:sz w:val="24"/>
          <w:szCs w:val="24"/>
        </w:rPr>
      </w:pPr>
      <w:r w:rsidRPr="006A68A4">
        <w:rPr>
          <w:rFonts w:asciiTheme="majorHAnsi" w:hAnsiTheme="majorHAnsi" w:cs="Times New Roman"/>
          <w:sz w:val="24"/>
          <w:szCs w:val="24"/>
        </w:rPr>
        <w:t>Study by Alam 2013 also measures the catastrophic expenditure on health by the urban slum dwellers in Delhi. Using multiple threshold levels for both the catastrophes — total consumption budget (catastrophe 1) and non-food consumption budget (catastrophe 2) — the results clearly indicate that an overwhelming share of sample households (n=2010) have been facing serious catastrophic situation because of high out-of-pocket expenses on health. At the lowest threshold level (i.e., the health budget over 5 percent of total consumption expenditure), there are 51 percent of the urban households exceeding this limit. The same at the 10 percent threshold level, which is generally considered as a catastrophic health spending by most of the analysts, it turns out to be 32 percent in urban areas. Furthermore, our results indicate that almost over a tenth (11.6%) of the urban households spend more than a quarter of their total consumption budget on health care. Lower caste people, particularly the Scheduled Castes (SC) communities, are also in the quandary for the same reason. Curiously, share of Muslim households incurring catastrophic spending on health are marginally lower than the Hindus.</w:t>
      </w:r>
    </w:p>
    <w:p w:rsidR="006A68A4" w:rsidRPr="006A68A4" w:rsidRDefault="006A68A4" w:rsidP="006A68A4">
      <w:pPr>
        <w:autoSpaceDE w:val="0"/>
        <w:autoSpaceDN w:val="0"/>
        <w:adjustRightInd w:val="0"/>
        <w:spacing w:after="0" w:line="264" w:lineRule="auto"/>
        <w:contextualSpacing/>
        <w:jc w:val="both"/>
        <w:rPr>
          <w:rFonts w:asciiTheme="majorHAnsi" w:hAnsiTheme="majorHAnsi" w:cs="Times New Roman"/>
          <w:b/>
          <w:sz w:val="24"/>
          <w:szCs w:val="24"/>
        </w:rPr>
      </w:pPr>
    </w:p>
    <w:p w:rsidR="006A68A4" w:rsidRPr="006A68A4" w:rsidRDefault="006A68A4" w:rsidP="006A68A4">
      <w:pPr>
        <w:autoSpaceDE w:val="0"/>
        <w:autoSpaceDN w:val="0"/>
        <w:adjustRightInd w:val="0"/>
        <w:spacing w:after="0" w:line="264" w:lineRule="auto"/>
        <w:contextualSpacing/>
        <w:jc w:val="both"/>
        <w:rPr>
          <w:rFonts w:asciiTheme="majorHAnsi" w:hAnsiTheme="majorHAnsi" w:cs="Times New Roman"/>
          <w:sz w:val="24"/>
          <w:szCs w:val="24"/>
        </w:rPr>
      </w:pPr>
      <w:r w:rsidRPr="006A68A4">
        <w:rPr>
          <w:rFonts w:asciiTheme="majorHAnsi" w:hAnsiTheme="majorHAnsi" w:cs="Times New Roman"/>
          <w:b/>
          <w:sz w:val="24"/>
          <w:szCs w:val="24"/>
        </w:rPr>
        <w:t xml:space="preserve">Components of OOP: </w:t>
      </w:r>
      <w:r w:rsidRPr="006A68A4">
        <w:rPr>
          <w:rFonts w:asciiTheme="majorHAnsi" w:hAnsiTheme="majorHAnsi" w:cs="Myriad-Roman"/>
          <w:sz w:val="24"/>
          <w:szCs w:val="24"/>
        </w:rPr>
        <w:t xml:space="preserve">The break-up of expenditure on in patient care among different components has been presented in Table 5. </w:t>
      </w:r>
      <w:r w:rsidRPr="006A68A4">
        <w:rPr>
          <w:rFonts w:asciiTheme="majorHAnsi" w:hAnsiTheme="majorHAnsi" w:cs="Times New Roman"/>
          <w:sz w:val="24"/>
          <w:szCs w:val="24"/>
        </w:rPr>
        <w:t xml:space="preserve">In urban areas, Bihar, Punjab, Rajasthan, Uttar </w:t>
      </w:r>
      <w:r w:rsidRPr="006A68A4">
        <w:rPr>
          <w:rFonts w:asciiTheme="majorHAnsi" w:hAnsiTheme="majorHAnsi" w:cs="Times New Roman"/>
          <w:sz w:val="24"/>
          <w:szCs w:val="24"/>
        </w:rPr>
        <w:lastRenderedPageBreak/>
        <w:t>Pradesh, Chhattisgarh and West Bengal spent more for medicines. In the public sector, by and large doctor’s fee has been negligible in total out of pocket expenditure except in Chattisgarh rural where it has been 37.8% and Punjab urban at 17.2%.</w:t>
      </w:r>
    </w:p>
    <w:p w:rsidR="006A68A4" w:rsidRPr="006A68A4" w:rsidRDefault="006A68A4" w:rsidP="006A68A4">
      <w:pPr>
        <w:autoSpaceDE w:val="0"/>
        <w:autoSpaceDN w:val="0"/>
        <w:adjustRightInd w:val="0"/>
        <w:spacing w:after="0" w:line="264" w:lineRule="auto"/>
        <w:contextualSpacing/>
        <w:jc w:val="both"/>
        <w:rPr>
          <w:rFonts w:asciiTheme="majorHAnsi" w:hAnsiTheme="majorHAnsi" w:cs="Times New Roman"/>
          <w:sz w:val="24"/>
          <w:szCs w:val="24"/>
        </w:rPr>
      </w:pPr>
    </w:p>
    <w:p w:rsidR="006A68A4" w:rsidRPr="006A68A4" w:rsidRDefault="006A68A4" w:rsidP="006A68A4">
      <w:pPr>
        <w:autoSpaceDE w:val="0"/>
        <w:autoSpaceDN w:val="0"/>
        <w:adjustRightInd w:val="0"/>
        <w:spacing w:after="0" w:line="264" w:lineRule="auto"/>
        <w:contextualSpacing/>
        <w:jc w:val="both"/>
        <w:rPr>
          <w:rFonts w:asciiTheme="majorHAnsi" w:hAnsiTheme="majorHAnsi" w:cs="Times New Roman"/>
          <w:sz w:val="24"/>
          <w:szCs w:val="24"/>
        </w:rPr>
      </w:pPr>
      <w:r w:rsidRPr="006A68A4">
        <w:rPr>
          <w:rFonts w:asciiTheme="majorHAnsi" w:hAnsiTheme="majorHAnsi" w:cs="Times New Roman"/>
          <w:sz w:val="24"/>
          <w:szCs w:val="24"/>
        </w:rPr>
        <w:t>Table 5 (Source: NHA 2004-05)</w:t>
      </w:r>
    </w:p>
    <w:p w:rsidR="006A68A4" w:rsidRPr="006A68A4" w:rsidRDefault="006A68A4" w:rsidP="006A68A4">
      <w:pPr>
        <w:autoSpaceDE w:val="0"/>
        <w:autoSpaceDN w:val="0"/>
        <w:adjustRightInd w:val="0"/>
        <w:spacing w:after="0" w:line="264" w:lineRule="auto"/>
        <w:contextualSpacing/>
        <w:rPr>
          <w:rFonts w:asciiTheme="majorHAnsi" w:hAnsiTheme="majorHAnsi" w:cs="Myriad-Roman"/>
          <w:sz w:val="24"/>
          <w:szCs w:val="24"/>
        </w:rPr>
      </w:pPr>
      <w:r w:rsidRPr="006A68A4">
        <w:rPr>
          <w:rFonts w:asciiTheme="majorHAnsi" w:hAnsiTheme="majorHAnsi" w:cs="Times New Roman"/>
          <w:noProof/>
          <w:sz w:val="24"/>
          <w:szCs w:val="24"/>
        </w:rPr>
        <w:drawing>
          <wp:inline distT="0" distB="0" distL="0" distR="0">
            <wp:extent cx="5943600" cy="4077952"/>
            <wp:effectExtent l="1905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5943600" cy="4077952"/>
                    </a:xfrm>
                    <a:prstGeom prst="rect">
                      <a:avLst/>
                    </a:prstGeom>
                    <a:noFill/>
                    <a:ln w="9525">
                      <a:noFill/>
                      <a:miter lim="800000"/>
                      <a:headEnd/>
                      <a:tailEnd/>
                    </a:ln>
                  </pic:spPr>
                </pic:pic>
              </a:graphicData>
            </a:graphic>
          </wp:inline>
        </w:drawing>
      </w:r>
    </w:p>
    <w:p w:rsidR="006A68A4" w:rsidRPr="006A68A4" w:rsidRDefault="006A68A4" w:rsidP="006A68A4">
      <w:pPr>
        <w:autoSpaceDE w:val="0"/>
        <w:autoSpaceDN w:val="0"/>
        <w:adjustRightInd w:val="0"/>
        <w:spacing w:after="0" w:line="264" w:lineRule="auto"/>
        <w:contextualSpacing/>
        <w:jc w:val="both"/>
        <w:rPr>
          <w:rFonts w:asciiTheme="majorHAnsi" w:hAnsiTheme="majorHAnsi" w:cs="Times New Roman"/>
          <w:sz w:val="24"/>
          <w:szCs w:val="24"/>
        </w:rPr>
      </w:pPr>
    </w:p>
    <w:p w:rsidR="006A68A4" w:rsidRPr="006A68A4" w:rsidRDefault="006A68A4" w:rsidP="006A68A4">
      <w:pPr>
        <w:autoSpaceDE w:val="0"/>
        <w:autoSpaceDN w:val="0"/>
        <w:adjustRightInd w:val="0"/>
        <w:spacing w:after="0" w:line="264" w:lineRule="auto"/>
        <w:contextualSpacing/>
        <w:jc w:val="both"/>
        <w:rPr>
          <w:rFonts w:asciiTheme="majorHAnsi" w:hAnsiTheme="majorHAnsi" w:cs="Times New Roman"/>
          <w:sz w:val="24"/>
          <w:szCs w:val="24"/>
        </w:rPr>
      </w:pPr>
      <w:r w:rsidRPr="006A68A4">
        <w:rPr>
          <w:rFonts w:asciiTheme="majorHAnsi" w:hAnsiTheme="majorHAnsi"/>
          <w:b/>
          <w:sz w:val="24"/>
          <w:szCs w:val="24"/>
        </w:rPr>
        <w:t>Proposed Mechanisms of financing for UHM</w:t>
      </w:r>
    </w:p>
    <w:p w:rsidR="006A68A4" w:rsidRPr="006A68A4" w:rsidRDefault="006A68A4" w:rsidP="006A68A4">
      <w:pPr>
        <w:autoSpaceDE w:val="0"/>
        <w:autoSpaceDN w:val="0"/>
        <w:adjustRightInd w:val="0"/>
        <w:spacing w:after="0" w:line="264" w:lineRule="auto"/>
        <w:contextualSpacing/>
        <w:jc w:val="both"/>
        <w:rPr>
          <w:rFonts w:asciiTheme="majorHAnsi" w:hAnsiTheme="majorHAnsi" w:cs="Times New Roman"/>
          <w:sz w:val="24"/>
          <w:szCs w:val="24"/>
        </w:rPr>
      </w:pPr>
      <w:r w:rsidRPr="006A68A4">
        <w:rPr>
          <w:rFonts w:asciiTheme="majorHAnsi" w:hAnsiTheme="majorHAnsi"/>
          <w:sz w:val="24"/>
          <w:szCs w:val="24"/>
        </w:rPr>
        <w:t xml:space="preserve">All healthcare systems share certain common features which include the components of financing body, service provider and service recipient with many third party players who could be insurers, payers/employers. Health systems can also be narrowly differentiated in part by their method of financing (government, individuals, employers), mechanism of payment to services providers (by doctors, hospitals, extended care facilities), or management processes between providers and payers. </w:t>
      </w:r>
      <w:r w:rsidRPr="006A68A4">
        <w:rPr>
          <w:rFonts w:asciiTheme="majorHAnsi" w:hAnsiTheme="majorHAnsi" w:cs="Times New Roman"/>
          <w:sz w:val="24"/>
          <w:szCs w:val="24"/>
        </w:rPr>
        <w:t>Various health financing models have been introduced and experimented in various parts of India. There are three fundamental models which are implemented or proposed for India from time to time with different outcomes and implications. Therefore, it brings to us following hypothesis for proposing the financing model under NUHM.</w:t>
      </w:r>
    </w:p>
    <w:p w:rsidR="006A68A4" w:rsidRPr="006A68A4" w:rsidRDefault="006A68A4" w:rsidP="006A68A4">
      <w:pPr>
        <w:autoSpaceDE w:val="0"/>
        <w:autoSpaceDN w:val="0"/>
        <w:adjustRightInd w:val="0"/>
        <w:spacing w:after="0" w:line="264" w:lineRule="auto"/>
        <w:contextualSpacing/>
        <w:jc w:val="both"/>
        <w:rPr>
          <w:rFonts w:asciiTheme="majorHAnsi" w:hAnsiTheme="majorHAnsi" w:cs="Times New Roman"/>
          <w:sz w:val="24"/>
          <w:szCs w:val="24"/>
        </w:rPr>
      </w:pPr>
    </w:p>
    <w:p w:rsidR="006A68A4" w:rsidRPr="006A68A4" w:rsidRDefault="006A68A4" w:rsidP="006A68A4">
      <w:pPr>
        <w:autoSpaceDE w:val="0"/>
        <w:autoSpaceDN w:val="0"/>
        <w:adjustRightInd w:val="0"/>
        <w:spacing w:after="0" w:line="264" w:lineRule="auto"/>
        <w:contextualSpacing/>
        <w:jc w:val="both"/>
        <w:rPr>
          <w:rFonts w:asciiTheme="majorHAnsi" w:hAnsiTheme="majorHAnsi" w:cs="Times New Roman"/>
          <w:b/>
          <w:i/>
          <w:sz w:val="24"/>
          <w:szCs w:val="24"/>
        </w:rPr>
      </w:pPr>
    </w:p>
    <w:p w:rsidR="006A68A4" w:rsidRPr="006A68A4" w:rsidRDefault="006A68A4" w:rsidP="006A68A4">
      <w:pPr>
        <w:autoSpaceDE w:val="0"/>
        <w:autoSpaceDN w:val="0"/>
        <w:adjustRightInd w:val="0"/>
        <w:spacing w:after="0" w:line="264" w:lineRule="auto"/>
        <w:contextualSpacing/>
        <w:jc w:val="both"/>
        <w:rPr>
          <w:rFonts w:asciiTheme="majorHAnsi" w:hAnsiTheme="majorHAnsi" w:cs="Times New Roman"/>
          <w:b/>
          <w:i/>
          <w:sz w:val="24"/>
          <w:szCs w:val="24"/>
        </w:rPr>
      </w:pPr>
    </w:p>
    <w:p w:rsidR="006A68A4" w:rsidRPr="006A68A4" w:rsidRDefault="006A68A4" w:rsidP="006A68A4">
      <w:pPr>
        <w:autoSpaceDE w:val="0"/>
        <w:autoSpaceDN w:val="0"/>
        <w:adjustRightInd w:val="0"/>
        <w:spacing w:after="0" w:line="264" w:lineRule="auto"/>
        <w:contextualSpacing/>
        <w:jc w:val="both"/>
        <w:rPr>
          <w:rFonts w:asciiTheme="majorHAnsi" w:hAnsiTheme="majorHAnsi" w:cs="Times New Roman"/>
          <w:b/>
          <w:i/>
          <w:sz w:val="24"/>
          <w:szCs w:val="24"/>
        </w:rPr>
      </w:pPr>
      <w:r w:rsidRPr="006A68A4">
        <w:rPr>
          <w:rFonts w:asciiTheme="majorHAnsi" w:hAnsiTheme="majorHAnsi" w:cs="Times New Roman"/>
          <w:b/>
          <w:i/>
          <w:sz w:val="24"/>
          <w:szCs w:val="24"/>
        </w:rPr>
        <w:lastRenderedPageBreak/>
        <w:t>Hypothesis 1: Can publicly financed health insurance schemes like RSBY and Aarogyashree provide complete access to care (Primary, Secondary and Tertiary Hospital Care) to urban vulnerable population?</w:t>
      </w:r>
    </w:p>
    <w:p w:rsidR="006A68A4" w:rsidRPr="006A68A4" w:rsidRDefault="006A68A4" w:rsidP="006A68A4">
      <w:pPr>
        <w:autoSpaceDE w:val="0"/>
        <w:autoSpaceDN w:val="0"/>
        <w:adjustRightInd w:val="0"/>
        <w:spacing w:after="0" w:line="264" w:lineRule="auto"/>
        <w:contextualSpacing/>
        <w:jc w:val="both"/>
        <w:rPr>
          <w:rFonts w:asciiTheme="majorHAnsi" w:hAnsiTheme="majorHAnsi" w:cs="Times New Roman"/>
          <w:sz w:val="24"/>
          <w:szCs w:val="24"/>
        </w:rPr>
      </w:pPr>
    </w:p>
    <w:p w:rsidR="0076468F" w:rsidRDefault="006A68A4" w:rsidP="006A68A4">
      <w:pPr>
        <w:autoSpaceDE w:val="0"/>
        <w:autoSpaceDN w:val="0"/>
        <w:adjustRightInd w:val="0"/>
        <w:spacing w:after="0" w:line="264" w:lineRule="auto"/>
        <w:contextualSpacing/>
        <w:jc w:val="both"/>
        <w:rPr>
          <w:rFonts w:asciiTheme="majorHAnsi" w:hAnsiTheme="majorHAnsi" w:cs="Times New Roman"/>
          <w:sz w:val="24"/>
          <w:szCs w:val="24"/>
        </w:rPr>
      </w:pPr>
      <w:r w:rsidRPr="006A68A4">
        <w:rPr>
          <w:rFonts w:asciiTheme="majorHAnsi" w:hAnsiTheme="majorHAnsi" w:cs="Times New Roman"/>
          <w:sz w:val="24"/>
          <w:szCs w:val="24"/>
        </w:rPr>
        <w:t>The various central and state financed health insurance schemes have emerged in last 5 years in response to increasing burden of catastrophic health expenditure in India. As far as the health care cost is concerned, the major thrust of the current health ins</w:t>
      </w:r>
      <w:r w:rsidR="0076468F">
        <w:rPr>
          <w:rFonts w:asciiTheme="majorHAnsi" w:hAnsiTheme="majorHAnsi" w:cs="Times New Roman"/>
          <w:sz w:val="24"/>
          <w:szCs w:val="24"/>
        </w:rPr>
        <w:t xml:space="preserve">urance schemes are on inpatient. </w:t>
      </w:r>
    </w:p>
    <w:p w:rsidR="0076468F" w:rsidRPr="006A68A4" w:rsidRDefault="0076468F" w:rsidP="006A68A4">
      <w:pPr>
        <w:autoSpaceDE w:val="0"/>
        <w:autoSpaceDN w:val="0"/>
        <w:adjustRightInd w:val="0"/>
        <w:spacing w:after="0" w:line="264" w:lineRule="auto"/>
        <w:contextualSpacing/>
        <w:jc w:val="both"/>
        <w:rPr>
          <w:rFonts w:asciiTheme="majorHAnsi" w:hAnsiTheme="majorHAnsi" w:cs="Times New Roman"/>
          <w:sz w:val="24"/>
          <w:szCs w:val="24"/>
        </w:rPr>
      </w:pPr>
    </w:p>
    <w:p w:rsidR="006A68A4" w:rsidRPr="006A68A4" w:rsidRDefault="006A68A4" w:rsidP="006A68A4">
      <w:pPr>
        <w:autoSpaceDE w:val="0"/>
        <w:autoSpaceDN w:val="0"/>
        <w:adjustRightInd w:val="0"/>
        <w:spacing w:after="0" w:line="264" w:lineRule="auto"/>
        <w:contextualSpacing/>
        <w:jc w:val="both"/>
        <w:rPr>
          <w:rFonts w:asciiTheme="majorHAnsi" w:hAnsiTheme="majorHAnsi" w:cs="Times New Roman"/>
          <w:sz w:val="24"/>
          <w:szCs w:val="24"/>
        </w:rPr>
      </w:pPr>
      <w:r w:rsidRPr="006A68A4">
        <w:rPr>
          <w:rFonts w:asciiTheme="majorHAnsi" w:hAnsiTheme="majorHAnsi" w:cs="Times New Roman"/>
          <w:sz w:val="24"/>
          <w:szCs w:val="24"/>
        </w:rPr>
        <w:t xml:space="preserve">Care which leaves a huge burden of outpatient care costs on the households. As the NSSO data and studies on catastrophic payments on health care proves that the likelihood of being impoverished due to outpatient care expenses is far high than the expenses on hospitalization. However, the evidence for risk protection from secondary and tertiary care expenses by the insurance schemes is mixed. </w:t>
      </w:r>
    </w:p>
    <w:p w:rsidR="006A68A4" w:rsidRPr="006A68A4" w:rsidRDefault="006A68A4" w:rsidP="006A68A4">
      <w:pPr>
        <w:autoSpaceDE w:val="0"/>
        <w:autoSpaceDN w:val="0"/>
        <w:adjustRightInd w:val="0"/>
        <w:spacing w:after="0" w:line="264" w:lineRule="auto"/>
        <w:contextualSpacing/>
        <w:jc w:val="both"/>
        <w:rPr>
          <w:rFonts w:asciiTheme="majorHAnsi" w:hAnsiTheme="majorHAnsi" w:cs="Times New Roman"/>
          <w:sz w:val="24"/>
          <w:szCs w:val="24"/>
        </w:rPr>
      </w:pPr>
    </w:p>
    <w:p w:rsidR="006A68A4" w:rsidRPr="006A68A4" w:rsidRDefault="006A68A4" w:rsidP="006A68A4">
      <w:pPr>
        <w:autoSpaceDE w:val="0"/>
        <w:autoSpaceDN w:val="0"/>
        <w:adjustRightInd w:val="0"/>
        <w:spacing w:after="0" w:line="264" w:lineRule="auto"/>
        <w:contextualSpacing/>
        <w:jc w:val="both"/>
        <w:rPr>
          <w:rFonts w:asciiTheme="majorHAnsi" w:hAnsiTheme="majorHAnsi" w:cs="Times New Roman"/>
          <w:b/>
          <w:i/>
          <w:sz w:val="24"/>
          <w:szCs w:val="24"/>
        </w:rPr>
      </w:pPr>
      <w:r w:rsidRPr="006A68A4">
        <w:rPr>
          <w:rFonts w:asciiTheme="majorHAnsi" w:hAnsiTheme="majorHAnsi" w:cs="Times New Roman"/>
          <w:sz w:val="24"/>
          <w:szCs w:val="24"/>
        </w:rPr>
        <w:t>The paper by Selvaraj and Karan in 2012 examines the effect of publicly financed health insurance schemes on financial risk protection by comparing the data on consumer expenditure survey conducted by NSSO in two consecutive periods of 2004-05 and 2009-10 (pre and post insurance periods) in intervention and control districts. The findings suggested the districts that are under RSBY and other state-based insurance schemes like aarogy</w:t>
      </w:r>
      <w:r w:rsidR="0076468F">
        <w:rPr>
          <w:rFonts w:asciiTheme="majorHAnsi" w:hAnsiTheme="majorHAnsi" w:cs="Times New Roman"/>
          <w:sz w:val="24"/>
          <w:szCs w:val="24"/>
        </w:rPr>
        <w:t>ashree, Kalaignar and Vajpayee K</w:t>
      </w:r>
      <w:r w:rsidRPr="006A68A4">
        <w:rPr>
          <w:rFonts w:asciiTheme="majorHAnsi" w:hAnsiTheme="majorHAnsi" w:cs="Times New Roman"/>
          <w:sz w:val="24"/>
          <w:szCs w:val="24"/>
        </w:rPr>
        <w:t xml:space="preserve">alignar appear to have experienced a higher (0.53%) percentage of increase in catastrophic headcount ratio than the non-health insurance intervention districts with only 0.39% increase. Surprisingly, evidence was provided of rise in per capita expenditure particularly on episodes of hospitalisation which are the one of the main components of these schemes. </w:t>
      </w:r>
    </w:p>
    <w:p w:rsidR="006A68A4" w:rsidRPr="006A68A4" w:rsidRDefault="006A68A4" w:rsidP="006A68A4">
      <w:pPr>
        <w:autoSpaceDE w:val="0"/>
        <w:autoSpaceDN w:val="0"/>
        <w:adjustRightInd w:val="0"/>
        <w:spacing w:after="0" w:line="264" w:lineRule="auto"/>
        <w:contextualSpacing/>
        <w:jc w:val="both"/>
        <w:rPr>
          <w:rFonts w:asciiTheme="majorHAnsi" w:hAnsiTheme="majorHAnsi" w:cs="Times New Roman"/>
          <w:sz w:val="24"/>
          <w:szCs w:val="24"/>
        </w:rPr>
      </w:pPr>
    </w:p>
    <w:p w:rsidR="006A68A4" w:rsidRPr="006A68A4" w:rsidRDefault="006A68A4" w:rsidP="006A68A4">
      <w:pPr>
        <w:autoSpaceDE w:val="0"/>
        <w:autoSpaceDN w:val="0"/>
        <w:adjustRightInd w:val="0"/>
        <w:spacing w:after="0" w:line="264" w:lineRule="auto"/>
        <w:contextualSpacing/>
        <w:jc w:val="both"/>
        <w:rPr>
          <w:rFonts w:asciiTheme="majorHAnsi" w:hAnsiTheme="majorHAnsi"/>
          <w:sz w:val="24"/>
          <w:szCs w:val="24"/>
        </w:rPr>
      </w:pPr>
      <w:r w:rsidRPr="006A68A4">
        <w:rPr>
          <w:rFonts w:asciiTheme="majorHAnsi" w:hAnsiTheme="majorHAnsi"/>
          <w:sz w:val="24"/>
          <w:szCs w:val="24"/>
        </w:rPr>
        <w:t xml:space="preserve">Study by Gupta,S (2013) on awareness, utilization and financial implications of RSBY in 10 slum areas of Delhi reveal that out of sixty six patients who approached RSBY empanelled hospitals for the preliminary (first time) treatment at the time of illness after enrolment, only in nineteen cases hospitals agreed to provide the treatment through RSBY cards that is in 72.4 percent cases hospitals refused to accept the cards and provide the treatment. Out of nineteen patients who were provided treatment at RSBY empanelled hospital, fourteen (73.6 percent) of them were not satisfied by the hospital. </w:t>
      </w:r>
    </w:p>
    <w:p w:rsidR="006A68A4" w:rsidRPr="006A68A4" w:rsidRDefault="006A68A4" w:rsidP="006A68A4">
      <w:pPr>
        <w:autoSpaceDE w:val="0"/>
        <w:autoSpaceDN w:val="0"/>
        <w:adjustRightInd w:val="0"/>
        <w:spacing w:after="0" w:line="264" w:lineRule="auto"/>
        <w:contextualSpacing/>
        <w:jc w:val="both"/>
        <w:rPr>
          <w:rFonts w:asciiTheme="majorHAnsi" w:hAnsiTheme="majorHAnsi"/>
          <w:sz w:val="24"/>
          <w:szCs w:val="24"/>
        </w:rPr>
      </w:pPr>
    </w:p>
    <w:p w:rsidR="006A68A4" w:rsidRPr="006A68A4" w:rsidRDefault="006A68A4" w:rsidP="006A68A4">
      <w:pPr>
        <w:autoSpaceDE w:val="0"/>
        <w:autoSpaceDN w:val="0"/>
        <w:adjustRightInd w:val="0"/>
        <w:spacing w:after="0" w:line="264" w:lineRule="auto"/>
        <w:contextualSpacing/>
        <w:jc w:val="both"/>
        <w:rPr>
          <w:rFonts w:asciiTheme="majorHAnsi" w:hAnsiTheme="majorHAnsi"/>
          <w:sz w:val="24"/>
          <w:szCs w:val="24"/>
        </w:rPr>
      </w:pPr>
      <w:r w:rsidRPr="006A68A4">
        <w:rPr>
          <w:rFonts w:asciiTheme="majorHAnsi" w:hAnsiTheme="majorHAnsi"/>
          <w:sz w:val="24"/>
          <w:szCs w:val="24"/>
        </w:rPr>
        <w:t>Despite the fact that hospitals agreed to provide the cashless treatment to the patients, various problems were faced by them during their inpatient experience. Four major problems were highlighted by almost equal number of patients. More than half of the patients (57.8 percent) who availed the treatment from RSBY empanelled hospital revealed that either hospitals asked for extra hard money apart from the money transacted from card or they didn’t provided costs for medicines and travelling stipulated under the benefit package of RSBY due to which they had to incur out of pocket expenditure.</w:t>
      </w:r>
    </w:p>
    <w:p w:rsidR="006A68A4" w:rsidRPr="006A68A4" w:rsidRDefault="006A68A4" w:rsidP="006A68A4">
      <w:pPr>
        <w:autoSpaceDE w:val="0"/>
        <w:autoSpaceDN w:val="0"/>
        <w:adjustRightInd w:val="0"/>
        <w:spacing w:after="0" w:line="264" w:lineRule="auto"/>
        <w:contextualSpacing/>
        <w:jc w:val="both"/>
        <w:rPr>
          <w:rFonts w:asciiTheme="majorHAnsi" w:hAnsiTheme="majorHAnsi" w:cs="Times New Roman"/>
          <w:sz w:val="24"/>
          <w:szCs w:val="24"/>
        </w:rPr>
      </w:pPr>
    </w:p>
    <w:p w:rsidR="006A68A4" w:rsidRPr="006A68A4" w:rsidRDefault="006A68A4" w:rsidP="006A68A4">
      <w:pPr>
        <w:autoSpaceDE w:val="0"/>
        <w:autoSpaceDN w:val="0"/>
        <w:adjustRightInd w:val="0"/>
        <w:spacing w:after="0" w:line="264" w:lineRule="auto"/>
        <w:contextualSpacing/>
        <w:jc w:val="both"/>
        <w:rPr>
          <w:rFonts w:asciiTheme="majorHAnsi" w:hAnsiTheme="majorHAnsi" w:cs="Times New Roman"/>
          <w:sz w:val="24"/>
          <w:szCs w:val="24"/>
        </w:rPr>
      </w:pPr>
      <w:r w:rsidRPr="006A68A4">
        <w:rPr>
          <w:rFonts w:asciiTheme="majorHAnsi" w:hAnsiTheme="majorHAnsi" w:cs="Times New Roman"/>
          <w:sz w:val="24"/>
          <w:szCs w:val="24"/>
        </w:rPr>
        <w:t>On OOP expenditure, study on RSBY in Amravati district of Maharashtra by Sen et al 2012 documents that 79% of their sample had OOP expenditure before and after reaching the RSBY empanelled hospital and more than 50% of this expenditure was incurred on drugs purchased after the hospitalisation.</w:t>
      </w:r>
    </w:p>
    <w:p w:rsidR="006A68A4" w:rsidRPr="006A68A4" w:rsidRDefault="006A68A4" w:rsidP="006A68A4">
      <w:pPr>
        <w:autoSpaceDE w:val="0"/>
        <w:autoSpaceDN w:val="0"/>
        <w:adjustRightInd w:val="0"/>
        <w:spacing w:after="0" w:line="264" w:lineRule="auto"/>
        <w:contextualSpacing/>
        <w:jc w:val="both"/>
        <w:rPr>
          <w:rFonts w:asciiTheme="majorHAnsi" w:hAnsiTheme="majorHAnsi" w:cs="Times New Roman"/>
          <w:sz w:val="24"/>
          <w:szCs w:val="24"/>
        </w:rPr>
      </w:pPr>
    </w:p>
    <w:p w:rsidR="006A68A4" w:rsidRPr="006A68A4" w:rsidRDefault="006A68A4" w:rsidP="006A68A4">
      <w:pPr>
        <w:autoSpaceDE w:val="0"/>
        <w:autoSpaceDN w:val="0"/>
        <w:adjustRightInd w:val="0"/>
        <w:spacing w:after="0" w:line="264" w:lineRule="auto"/>
        <w:contextualSpacing/>
        <w:jc w:val="both"/>
        <w:rPr>
          <w:rFonts w:asciiTheme="majorHAnsi" w:hAnsiTheme="majorHAnsi" w:cs="Times New Roman"/>
          <w:sz w:val="24"/>
          <w:szCs w:val="24"/>
        </w:rPr>
      </w:pPr>
      <w:r w:rsidRPr="006A68A4">
        <w:rPr>
          <w:rFonts w:asciiTheme="majorHAnsi" w:hAnsiTheme="majorHAnsi" w:cs="Times New Roman"/>
          <w:sz w:val="24"/>
          <w:szCs w:val="24"/>
        </w:rPr>
        <w:t xml:space="preserve">The post enrolment RSBY evaluation study from Kerala 2011 gathers the data on economical expenditure of both RSBY hospitalised and non-RSBY hospitalised families. Comparison of data of both the groups does not show any significant differences in their expenditure. Where the range of expenditure for Non-RSBY hospitalised families extend from 1000-7500/-, it becomes from 700-7500/- for RSBY empanelled families. </w:t>
      </w:r>
    </w:p>
    <w:p w:rsidR="006A68A4" w:rsidRPr="006A68A4" w:rsidRDefault="006A68A4" w:rsidP="006A68A4">
      <w:pPr>
        <w:autoSpaceDE w:val="0"/>
        <w:autoSpaceDN w:val="0"/>
        <w:adjustRightInd w:val="0"/>
        <w:spacing w:after="0" w:line="264" w:lineRule="auto"/>
        <w:contextualSpacing/>
        <w:jc w:val="both"/>
        <w:rPr>
          <w:rFonts w:asciiTheme="majorHAnsi" w:hAnsiTheme="majorHAnsi" w:cs="Times New Roman"/>
          <w:sz w:val="24"/>
          <w:szCs w:val="24"/>
        </w:rPr>
      </w:pPr>
    </w:p>
    <w:p w:rsidR="006A68A4" w:rsidRPr="006A68A4" w:rsidRDefault="006A68A4" w:rsidP="006A68A4">
      <w:pPr>
        <w:autoSpaceDE w:val="0"/>
        <w:autoSpaceDN w:val="0"/>
        <w:adjustRightInd w:val="0"/>
        <w:spacing w:after="0" w:line="264" w:lineRule="auto"/>
        <w:contextualSpacing/>
        <w:jc w:val="both"/>
        <w:rPr>
          <w:rFonts w:asciiTheme="majorHAnsi" w:hAnsiTheme="majorHAnsi" w:cs="Times New Roman"/>
          <w:sz w:val="24"/>
          <w:szCs w:val="24"/>
        </w:rPr>
      </w:pPr>
      <w:r w:rsidRPr="006A68A4">
        <w:rPr>
          <w:rFonts w:asciiTheme="majorHAnsi" w:hAnsiTheme="majorHAnsi" w:cs="Times New Roman"/>
          <w:sz w:val="24"/>
          <w:szCs w:val="24"/>
        </w:rPr>
        <w:t>A study by Chowdhary in 2011, "</w:t>
      </w:r>
      <w:r w:rsidRPr="006A68A4">
        <w:rPr>
          <w:rFonts w:asciiTheme="majorHAnsi" w:hAnsiTheme="majorHAnsi" w:cs="Times New Roman"/>
          <w:iCs/>
          <w:sz w:val="24"/>
          <w:szCs w:val="24"/>
        </w:rPr>
        <w:t>Financial Burden of Transient Morbidity:</w:t>
      </w:r>
      <w:r w:rsidR="002C3742">
        <w:rPr>
          <w:rFonts w:asciiTheme="majorHAnsi" w:hAnsiTheme="majorHAnsi" w:cs="Times New Roman"/>
          <w:iCs/>
          <w:sz w:val="24"/>
          <w:szCs w:val="24"/>
        </w:rPr>
        <w:t xml:space="preserve"> A Case Study of Slums in Delhi </w:t>
      </w:r>
      <w:r w:rsidRPr="006A68A4">
        <w:rPr>
          <w:rFonts w:asciiTheme="majorHAnsi" w:hAnsiTheme="majorHAnsi" w:cs="Times New Roman"/>
          <w:iCs/>
          <w:sz w:val="24"/>
          <w:szCs w:val="24"/>
        </w:rPr>
        <w:t xml:space="preserve">states that </w:t>
      </w:r>
      <w:r w:rsidRPr="006A68A4">
        <w:rPr>
          <w:rFonts w:asciiTheme="majorHAnsi" w:hAnsiTheme="majorHAnsi" w:cs="Times New Roman"/>
          <w:sz w:val="24"/>
          <w:szCs w:val="24"/>
        </w:rPr>
        <w:t>RashtriyaSwasthyaBimaYojana cover only conditional hospitalisation expenses. This paper argues that treatment cost incurred on ailments not requiring hospitalisation is also a substantial burden on the urban poor.  65% of casual labour households (who might be assumed to be one of the beneficiaries of the proposed scheme) in urban India get them</w:t>
      </w:r>
      <w:r w:rsidRPr="006A68A4">
        <w:rPr>
          <w:rFonts w:asciiTheme="majorHAnsi" w:hAnsiTheme="majorHAnsi" w:cs="Times New Roman"/>
          <w:sz w:val="24"/>
          <w:szCs w:val="24"/>
        </w:rPr>
        <w:softHyphen/>
        <w:t>selves treated from a private source in case of non-hospitalised illnesses. This burden is recurrent unlike that of hospitalisation expenses, and is largely unaddressed by schemes such as the RSBY. About 73% of the cases, the respondents approached a private doctor for treatment. The most appealing finding, however, was that almost 15% of the ailing sample opted for treatment from an unregis</w:t>
      </w:r>
      <w:r w:rsidRPr="006A68A4">
        <w:rPr>
          <w:rFonts w:asciiTheme="majorHAnsi" w:hAnsiTheme="majorHAnsi" w:cs="Times New Roman"/>
          <w:sz w:val="24"/>
          <w:szCs w:val="24"/>
        </w:rPr>
        <w:softHyphen/>
        <w:t>tered and unqualified private practitioner. Households might be classified as non-poor just because higher health spending on critical healthcare raise their total spending above the poverty line levels, while spending on other non-discretionary items is below the subsistence level. Although treatment in the public hospitals cost less, but the poor have been found to avoid them due to reasons ranging from lengthy, time-consuming procedures to informal payments to hospital staff.</w:t>
      </w:r>
    </w:p>
    <w:p w:rsidR="006A68A4" w:rsidRPr="006A68A4" w:rsidRDefault="006A68A4" w:rsidP="006A68A4">
      <w:pPr>
        <w:autoSpaceDE w:val="0"/>
        <w:autoSpaceDN w:val="0"/>
        <w:adjustRightInd w:val="0"/>
        <w:spacing w:after="0" w:line="264" w:lineRule="auto"/>
        <w:contextualSpacing/>
        <w:jc w:val="both"/>
        <w:rPr>
          <w:rFonts w:asciiTheme="majorHAnsi" w:hAnsiTheme="majorHAnsi" w:cs="Times New Roman"/>
          <w:sz w:val="24"/>
          <w:szCs w:val="24"/>
        </w:rPr>
      </w:pPr>
    </w:p>
    <w:p w:rsidR="006A68A4" w:rsidRPr="006A68A4" w:rsidRDefault="006A68A4" w:rsidP="006A68A4">
      <w:pPr>
        <w:autoSpaceDE w:val="0"/>
        <w:autoSpaceDN w:val="0"/>
        <w:adjustRightInd w:val="0"/>
        <w:spacing w:after="0" w:line="264" w:lineRule="auto"/>
        <w:contextualSpacing/>
        <w:jc w:val="both"/>
        <w:rPr>
          <w:rFonts w:asciiTheme="majorHAnsi" w:hAnsiTheme="majorHAnsi" w:cs="Times New Roman"/>
          <w:b/>
          <w:i/>
          <w:sz w:val="24"/>
          <w:szCs w:val="24"/>
        </w:rPr>
      </w:pPr>
      <w:r w:rsidRPr="006A68A4">
        <w:rPr>
          <w:rFonts w:asciiTheme="majorHAnsi" w:hAnsiTheme="majorHAnsi" w:cs="Times New Roman"/>
          <w:b/>
          <w:i/>
          <w:sz w:val="24"/>
          <w:szCs w:val="24"/>
        </w:rPr>
        <w:t>Hypothesis 2: Can Managed care be a viable option for providing care to vulnerable urban population which envisage a Universal Health Coverage system that entitles every citizen guaranteed access to an essential National Health Package of primary, secondary and tertiary health care services (covering both in-patient and out-patient care that is available free-of-cost) provided by public sector facilities as well as contracted-in private providers.</w:t>
      </w:r>
    </w:p>
    <w:p w:rsidR="006A68A4" w:rsidRPr="006A68A4" w:rsidRDefault="006A68A4" w:rsidP="006A68A4">
      <w:pPr>
        <w:autoSpaceDE w:val="0"/>
        <w:autoSpaceDN w:val="0"/>
        <w:adjustRightInd w:val="0"/>
        <w:spacing w:after="0" w:line="264" w:lineRule="auto"/>
        <w:contextualSpacing/>
        <w:jc w:val="both"/>
        <w:rPr>
          <w:rFonts w:asciiTheme="majorHAnsi" w:hAnsiTheme="majorHAnsi" w:cs="Times New Roman"/>
          <w:b/>
          <w:i/>
          <w:sz w:val="24"/>
          <w:szCs w:val="24"/>
        </w:rPr>
      </w:pPr>
    </w:p>
    <w:p w:rsidR="006A68A4" w:rsidRPr="006A68A4" w:rsidRDefault="006A68A4" w:rsidP="006A68A4">
      <w:pPr>
        <w:spacing w:after="0" w:line="264" w:lineRule="auto"/>
        <w:contextualSpacing/>
        <w:jc w:val="both"/>
        <w:rPr>
          <w:rFonts w:asciiTheme="majorHAnsi" w:hAnsiTheme="majorHAnsi" w:cs="Times New Roman"/>
          <w:sz w:val="24"/>
          <w:szCs w:val="24"/>
        </w:rPr>
      </w:pPr>
      <w:r w:rsidRPr="006A68A4">
        <w:rPr>
          <w:rFonts w:asciiTheme="majorHAnsi" w:hAnsiTheme="majorHAnsi" w:cs="Times New Roman"/>
          <w:sz w:val="24"/>
          <w:szCs w:val="24"/>
        </w:rPr>
        <w:t xml:space="preserve">High level expert group on Universal Health Care in India constituted by Planning Commission of India recommended this model under which says that every citizen should be provided guaranteed access to an essential National Health Package of primary, secondary and tertiary health care services (covering both in-patient and out-patient care that is available free-of-cost) provided by public sector facilities as well as contracted-in </w:t>
      </w:r>
      <w:r w:rsidRPr="006A68A4">
        <w:rPr>
          <w:rFonts w:asciiTheme="majorHAnsi" w:hAnsiTheme="majorHAnsi" w:cs="Times New Roman"/>
          <w:sz w:val="24"/>
          <w:szCs w:val="24"/>
        </w:rPr>
        <w:lastRenderedPageBreak/>
        <w:t>private providers. It also proposes to introduce specific purpose transfers to equalize the levels of per capita public spending on health across different states as a way to offset the general impediments to resource mobilization faced by many states and to ensure that all citizens have an entitlement to the same level of essential health care.</w:t>
      </w:r>
    </w:p>
    <w:p w:rsidR="006A68A4" w:rsidRPr="006A68A4" w:rsidRDefault="006A68A4" w:rsidP="006A68A4">
      <w:pPr>
        <w:spacing w:after="0" w:line="264" w:lineRule="auto"/>
        <w:contextualSpacing/>
        <w:jc w:val="both"/>
        <w:rPr>
          <w:rFonts w:asciiTheme="majorHAnsi" w:hAnsiTheme="majorHAnsi" w:cs="Times New Roman"/>
          <w:sz w:val="24"/>
          <w:szCs w:val="24"/>
        </w:rPr>
      </w:pPr>
    </w:p>
    <w:p w:rsidR="006A68A4" w:rsidRPr="006A68A4" w:rsidRDefault="006A68A4" w:rsidP="006A68A4">
      <w:pPr>
        <w:spacing w:after="0" w:line="264" w:lineRule="auto"/>
        <w:contextualSpacing/>
        <w:jc w:val="both"/>
        <w:rPr>
          <w:rFonts w:asciiTheme="majorHAnsi" w:hAnsiTheme="majorHAnsi" w:cs="Times New Roman"/>
          <w:sz w:val="24"/>
          <w:szCs w:val="24"/>
        </w:rPr>
      </w:pPr>
      <w:r w:rsidRPr="006A68A4">
        <w:rPr>
          <w:rFonts w:asciiTheme="majorHAnsi" w:hAnsiTheme="majorHAnsi" w:cs="Times New Roman"/>
          <w:sz w:val="24"/>
          <w:szCs w:val="24"/>
        </w:rPr>
        <w:t>Key recommendations of HLEG on health financing and financial protection are that government (Central government and states combined) should increase public expenditures on health from the current level of 1.2% of GDP to at least 2.5% by the end of the 12thplan, and to at least 3% of GDP by 2022. It recommended use of general taxation as the principal source of health care financing – complemented by additional mandatory deductions for health care from salaried individuals and tax payers, either as a proportion of taxable income or as a proportion of salary.</w:t>
      </w:r>
    </w:p>
    <w:p w:rsidR="006A68A4" w:rsidRPr="006A68A4" w:rsidRDefault="006A68A4" w:rsidP="006A68A4">
      <w:pPr>
        <w:spacing w:after="0" w:line="264" w:lineRule="auto"/>
        <w:contextualSpacing/>
        <w:jc w:val="both"/>
        <w:rPr>
          <w:rFonts w:asciiTheme="majorHAnsi" w:hAnsiTheme="majorHAnsi" w:cs="Times New Roman"/>
          <w:sz w:val="24"/>
          <w:szCs w:val="24"/>
        </w:rPr>
      </w:pPr>
    </w:p>
    <w:p w:rsidR="006A68A4" w:rsidRPr="006A68A4" w:rsidRDefault="006A68A4" w:rsidP="006A68A4">
      <w:pPr>
        <w:spacing w:after="0" w:line="264" w:lineRule="auto"/>
        <w:contextualSpacing/>
        <w:jc w:val="both"/>
        <w:rPr>
          <w:rFonts w:asciiTheme="majorHAnsi" w:hAnsiTheme="majorHAnsi" w:cs="Times New Roman"/>
          <w:sz w:val="24"/>
          <w:szCs w:val="24"/>
        </w:rPr>
      </w:pPr>
      <w:r w:rsidRPr="006A68A4">
        <w:rPr>
          <w:rFonts w:asciiTheme="majorHAnsi" w:hAnsiTheme="majorHAnsi" w:cs="Times New Roman"/>
          <w:sz w:val="24"/>
          <w:szCs w:val="24"/>
        </w:rPr>
        <w:t xml:space="preserve">This model has not been rolled out in India so the evidences for its efficiency and equity gains are limited. But the model can potentially be looked closely for providing universal access to care for vulnerable urban poor. </w:t>
      </w:r>
    </w:p>
    <w:p w:rsidR="006A68A4" w:rsidRPr="006A68A4" w:rsidRDefault="006A68A4" w:rsidP="006A68A4">
      <w:pPr>
        <w:spacing w:after="0" w:line="264" w:lineRule="auto"/>
        <w:contextualSpacing/>
        <w:jc w:val="both"/>
        <w:rPr>
          <w:rFonts w:asciiTheme="majorHAnsi" w:hAnsiTheme="majorHAnsi" w:cs="Times New Roman"/>
          <w:sz w:val="24"/>
          <w:szCs w:val="24"/>
        </w:rPr>
      </w:pPr>
    </w:p>
    <w:p w:rsidR="006A68A4" w:rsidRDefault="006A68A4" w:rsidP="006A68A4">
      <w:pPr>
        <w:spacing w:line="264" w:lineRule="auto"/>
        <w:contextualSpacing/>
        <w:jc w:val="both"/>
        <w:rPr>
          <w:rFonts w:asciiTheme="majorHAnsi" w:hAnsiTheme="majorHAnsi" w:cs="Times New Roman"/>
          <w:b/>
          <w:i/>
          <w:sz w:val="24"/>
          <w:szCs w:val="24"/>
        </w:rPr>
      </w:pPr>
      <w:r w:rsidRPr="006A68A4">
        <w:rPr>
          <w:rFonts w:asciiTheme="majorHAnsi" w:hAnsiTheme="majorHAnsi" w:cs="Times New Roman"/>
          <w:b/>
          <w:i/>
          <w:sz w:val="24"/>
          <w:szCs w:val="24"/>
        </w:rPr>
        <w:t>Hypothesis 3: Can keeping primary care completely in free care (including free drugs) through public health system and allowing secondary care to be covered by mix of largely public but including private sector like in Thailand (or Rajasthan in India) become a promising model for NUHM?</w:t>
      </w:r>
    </w:p>
    <w:p w:rsidR="002C3742" w:rsidRPr="006A68A4" w:rsidRDefault="002C3742" w:rsidP="006A68A4">
      <w:pPr>
        <w:spacing w:line="264" w:lineRule="auto"/>
        <w:contextualSpacing/>
        <w:jc w:val="both"/>
        <w:rPr>
          <w:rFonts w:asciiTheme="majorHAnsi" w:hAnsiTheme="majorHAnsi" w:cs="Times New Roman"/>
          <w:b/>
          <w:i/>
          <w:sz w:val="24"/>
          <w:szCs w:val="24"/>
        </w:rPr>
      </w:pPr>
    </w:p>
    <w:p w:rsidR="006A68A4" w:rsidRDefault="006A68A4" w:rsidP="006A68A4">
      <w:pPr>
        <w:spacing w:line="264" w:lineRule="auto"/>
        <w:contextualSpacing/>
        <w:jc w:val="both"/>
        <w:rPr>
          <w:rFonts w:asciiTheme="majorHAnsi" w:hAnsiTheme="majorHAnsi" w:cs="Times New Roman"/>
          <w:sz w:val="24"/>
          <w:szCs w:val="24"/>
        </w:rPr>
      </w:pPr>
      <w:r w:rsidRPr="006A68A4">
        <w:rPr>
          <w:rFonts w:asciiTheme="majorHAnsi" w:hAnsiTheme="majorHAnsi" w:cs="Times New Roman"/>
          <w:sz w:val="24"/>
          <w:szCs w:val="24"/>
        </w:rPr>
        <w:t>In 2001, Thailand introduced the National Health Security Act, which laid the groundwork for a new, robust Universal Coverage Scheme (UCS). The program is financed through government taxes and pays providers on a capitation basis. Public hospitals with primary care facilities are the main providers and serve more than 95% of UCS beneficiaries. UCS beneficiaries choose public or private hospitals, which receive annual capitation payments based on the number of UCS beneficiaries that choose them. Freedom of provider choice encourages the development of competing provider networks, and the capitation payment approach helps contains costs and promote efficiency. The capitation payment system incentivizes health care providers to reach out and enroll the uninsured—only 2% of the population was still uninsured in 2007. The UCS represents a marked shift towards primary care.</w:t>
      </w:r>
    </w:p>
    <w:p w:rsidR="002C3742" w:rsidRPr="006A68A4" w:rsidRDefault="002C3742" w:rsidP="006A68A4">
      <w:pPr>
        <w:spacing w:line="264" w:lineRule="auto"/>
        <w:contextualSpacing/>
        <w:jc w:val="both"/>
        <w:rPr>
          <w:rFonts w:asciiTheme="majorHAnsi" w:hAnsiTheme="majorHAnsi" w:cs="Times New Roman"/>
          <w:sz w:val="24"/>
          <w:szCs w:val="24"/>
        </w:rPr>
      </w:pPr>
    </w:p>
    <w:p w:rsidR="006A68A4" w:rsidRPr="006A68A4" w:rsidRDefault="006A68A4" w:rsidP="006A68A4">
      <w:pPr>
        <w:spacing w:line="264" w:lineRule="auto"/>
        <w:contextualSpacing/>
        <w:jc w:val="both"/>
        <w:rPr>
          <w:rFonts w:asciiTheme="majorHAnsi" w:hAnsiTheme="majorHAnsi" w:cs="Times New Roman"/>
          <w:sz w:val="24"/>
          <w:szCs w:val="24"/>
        </w:rPr>
      </w:pPr>
      <w:r w:rsidRPr="006A68A4">
        <w:rPr>
          <w:rFonts w:asciiTheme="majorHAnsi" w:hAnsiTheme="majorHAnsi" w:cs="Times New Roman"/>
          <w:sz w:val="24"/>
          <w:szCs w:val="24"/>
        </w:rPr>
        <w:t xml:space="preserve">However, while drawing on lessons from other developing countries, we should not forget that India’s per capita income (around Purchasing Power Parity Dollars [PPP$] 3,250 in 2009) remains relatively low compared to that of Thailand (PPP$7,640). In other words, India cannot quickly match China, Thailand or Brazil in terms of per capita overall or public spending on health not only because of lower incomes and the consequently lower capacity to mobilize financial resources, but also because of the limitations of the health system to </w:t>
      </w:r>
      <w:r w:rsidRPr="006A68A4">
        <w:rPr>
          <w:rFonts w:asciiTheme="majorHAnsi" w:hAnsiTheme="majorHAnsi" w:cs="Times New Roman"/>
          <w:sz w:val="24"/>
          <w:szCs w:val="24"/>
        </w:rPr>
        <w:lastRenderedPageBreak/>
        <w:t xml:space="preserve">absorb additional financial resources effectively and efficiently without bringing about significant reforms of the health system (HLEG Report, 2011). </w:t>
      </w:r>
    </w:p>
    <w:p w:rsidR="006A68A4" w:rsidRPr="006A68A4" w:rsidRDefault="006A68A4" w:rsidP="006A68A4">
      <w:pPr>
        <w:spacing w:line="264" w:lineRule="auto"/>
        <w:contextualSpacing/>
        <w:jc w:val="both"/>
        <w:rPr>
          <w:rFonts w:asciiTheme="majorHAnsi" w:eastAsia="Times New Roman" w:hAnsiTheme="majorHAnsi" w:cs="Arial"/>
          <w:b/>
          <w:color w:val="222222"/>
          <w:sz w:val="24"/>
          <w:szCs w:val="24"/>
        </w:rPr>
      </w:pPr>
    </w:p>
    <w:p w:rsidR="006A68A4" w:rsidRPr="006A68A4" w:rsidRDefault="006A68A4" w:rsidP="006A68A4">
      <w:pPr>
        <w:spacing w:line="264" w:lineRule="auto"/>
        <w:contextualSpacing/>
        <w:jc w:val="both"/>
        <w:rPr>
          <w:rFonts w:asciiTheme="majorHAnsi" w:eastAsia="Times New Roman" w:hAnsiTheme="majorHAnsi" w:cs="Arial"/>
          <w:b/>
          <w:color w:val="222222"/>
          <w:sz w:val="24"/>
          <w:szCs w:val="24"/>
        </w:rPr>
      </w:pPr>
      <w:r w:rsidRPr="006A68A4">
        <w:rPr>
          <w:rFonts w:asciiTheme="majorHAnsi" w:eastAsia="Times New Roman" w:hAnsiTheme="majorHAnsi" w:cs="Arial"/>
          <w:b/>
          <w:color w:val="222222"/>
          <w:sz w:val="24"/>
          <w:szCs w:val="24"/>
        </w:rPr>
        <w:t>d) What if any should be the role of the private sector, both for-profit and non-profit, in the UHM guaranteed package of services?</w:t>
      </w:r>
    </w:p>
    <w:p w:rsidR="006A68A4" w:rsidRPr="006A68A4" w:rsidRDefault="006A68A4" w:rsidP="006A68A4">
      <w:pPr>
        <w:spacing w:line="264" w:lineRule="auto"/>
        <w:contextualSpacing/>
        <w:jc w:val="both"/>
        <w:rPr>
          <w:rFonts w:asciiTheme="majorHAnsi" w:eastAsia="Times New Roman" w:hAnsiTheme="majorHAnsi" w:cs="Arial"/>
          <w:color w:val="222222"/>
          <w:sz w:val="24"/>
          <w:szCs w:val="24"/>
        </w:rPr>
      </w:pPr>
    </w:p>
    <w:p w:rsidR="006A68A4" w:rsidRPr="006A68A4" w:rsidRDefault="006A68A4" w:rsidP="006A68A4">
      <w:pPr>
        <w:spacing w:line="264" w:lineRule="auto"/>
        <w:contextualSpacing/>
        <w:jc w:val="both"/>
        <w:rPr>
          <w:rFonts w:asciiTheme="majorHAnsi" w:eastAsia="Times New Roman" w:hAnsiTheme="majorHAnsi" w:cs="Arial"/>
          <w:color w:val="222222"/>
          <w:sz w:val="24"/>
          <w:szCs w:val="24"/>
        </w:rPr>
      </w:pPr>
      <w:r w:rsidRPr="006A68A4">
        <w:rPr>
          <w:rFonts w:asciiTheme="majorHAnsi" w:eastAsia="Times New Roman" w:hAnsiTheme="majorHAnsi" w:cs="Arial"/>
          <w:color w:val="222222"/>
          <w:sz w:val="24"/>
          <w:szCs w:val="24"/>
        </w:rPr>
        <w:t xml:space="preserve">The growth of private sector in healthcare in India has followed an exponential trajectory, mainly fuelled by certain major policy shifts during the 90s. With severe cuts in public funding for the social sectors resulting from Structural Adjustment Programs, introduction of user fees in public health services, and sharp increases in drug prices due to the liberalization of the pharmaceutical sector (Ghosh 2011), the health ‘market’ was swept by private players and out of pocket payments increased sharply. Although user fees were waived for people living below the poverty line, the definition of poor was arbitrary, leading to limited relief for most poor people. The government’s incapability to respond to the people’s health needs was quite evident. </w:t>
      </w:r>
    </w:p>
    <w:p w:rsidR="006A68A4" w:rsidRPr="006A68A4" w:rsidRDefault="006A68A4" w:rsidP="006A68A4">
      <w:pPr>
        <w:spacing w:line="264" w:lineRule="auto"/>
        <w:contextualSpacing/>
        <w:jc w:val="both"/>
        <w:rPr>
          <w:rFonts w:asciiTheme="majorHAnsi" w:eastAsia="Times New Roman" w:hAnsiTheme="majorHAnsi" w:cs="Arial"/>
          <w:color w:val="222222"/>
          <w:sz w:val="24"/>
          <w:szCs w:val="24"/>
        </w:rPr>
      </w:pPr>
    </w:p>
    <w:p w:rsidR="006A68A4" w:rsidRPr="006A68A4" w:rsidRDefault="006A68A4" w:rsidP="006A68A4">
      <w:pPr>
        <w:spacing w:line="264" w:lineRule="auto"/>
        <w:contextualSpacing/>
        <w:jc w:val="both"/>
        <w:rPr>
          <w:rFonts w:asciiTheme="majorHAnsi" w:eastAsia="Times New Roman" w:hAnsiTheme="majorHAnsi" w:cs="Arial"/>
          <w:color w:val="222222"/>
          <w:sz w:val="24"/>
          <w:szCs w:val="24"/>
        </w:rPr>
      </w:pPr>
      <w:r w:rsidRPr="006A68A4">
        <w:rPr>
          <w:rFonts w:asciiTheme="majorHAnsi" w:eastAsia="Times New Roman" w:hAnsiTheme="majorHAnsi" w:cs="Arial"/>
          <w:color w:val="222222"/>
          <w:sz w:val="24"/>
          <w:szCs w:val="24"/>
        </w:rPr>
        <w:t xml:space="preserve">Since then, the private health sector has expanded and tried to step in to deliver healthcare services where the state could not. The private sector is also not homogenous – it ranges from urban tertiary hospitals to corner pharmacy shops to jhola-chap doctors in rural areas. </w:t>
      </w:r>
    </w:p>
    <w:p w:rsidR="006A68A4" w:rsidRPr="006A68A4" w:rsidRDefault="006A68A4" w:rsidP="006A68A4">
      <w:pPr>
        <w:spacing w:line="264" w:lineRule="auto"/>
        <w:contextualSpacing/>
        <w:jc w:val="both"/>
        <w:rPr>
          <w:rFonts w:asciiTheme="majorHAnsi" w:eastAsia="Times New Roman" w:hAnsiTheme="majorHAnsi" w:cs="Arial"/>
          <w:b/>
          <w:sz w:val="24"/>
          <w:szCs w:val="24"/>
        </w:rPr>
      </w:pPr>
    </w:p>
    <w:p w:rsidR="006A68A4" w:rsidRPr="006A68A4" w:rsidRDefault="006A68A4" w:rsidP="006A68A4">
      <w:pPr>
        <w:spacing w:line="264" w:lineRule="auto"/>
        <w:contextualSpacing/>
        <w:jc w:val="both"/>
        <w:rPr>
          <w:rFonts w:asciiTheme="majorHAnsi" w:eastAsia="Times New Roman" w:hAnsiTheme="majorHAnsi" w:cs="Arial"/>
          <w:b/>
          <w:sz w:val="24"/>
          <w:szCs w:val="24"/>
        </w:rPr>
      </w:pPr>
      <w:r w:rsidRPr="006A68A4">
        <w:rPr>
          <w:rFonts w:asciiTheme="majorHAnsi" w:eastAsia="Times New Roman" w:hAnsiTheme="majorHAnsi" w:cs="Arial"/>
          <w:b/>
          <w:sz w:val="24"/>
          <w:szCs w:val="24"/>
        </w:rPr>
        <w:t xml:space="preserve">Role of non-profit sector </w:t>
      </w:r>
    </w:p>
    <w:p w:rsidR="006A68A4" w:rsidRDefault="006A68A4" w:rsidP="006A68A4">
      <w:pPr>
        <w:spacing w:line="264" w:lineRule="auto"/>
        <w:contextualSpacing/>
        <w:jc w:val="both"/>
        <w:rPr>
          <w:rFonts w:asciiTheme="majorHAnsi" w:hAnsiTheme="majorHAnsi" w:cs="Arial"/>
          <w:sz w:val="24"/>
          <w:szCs w:val="24"/>
        </w:rPr>
      </w:pPr>
      <w:r w:rsidRPr="006A68A4">
        <w:rPr>
          <w:rFonts w:asciiTheme="majorHAnsi" w:hAnsiTheme="majorHAnsi" w:cs="Arial"/>
          <w:bCs/>
          <w:sz w:val="24"/>
          <w:szCs w:val="24"/>
        </w:rPr>
        <w:t>The current NUHM framework recognizes the potential of non-government organizations in reaching out to the urban slum dwellers and the benefit of partnering with them to provide better outreach and referrals.</w:t>
      </w:r>
      <w:r w:rsidRPr="006A68A4">
        <w:rPr>
          <w:rFonts w:asciiTheme="majorHAnsi" w:hAnsiTheme="majorHAnsi" w:cs="Arial"/>
          <w:b/>
          <w:bCs/>
          <w:sz w:val="24"/>
          <w:szCs w:val="24"/>
        </w:rPr>
        <w:t xml:space="preserve">  ‘</w:t>
      </w:r>
      <w:r w:rsidRPr="006A68A4">
        <w:rPr>
          <w:rFonts w:asciiTheme="majorHAnsi" w:hAnsiTheme="majorHAnsi" w:cs="Arial"/>
          <w:sz w:val="24"/>
          <w:szCs w:val="24"/>
        </w:rPr>
        <w:t xml:space="preserve">There is a considerable existing capacity among private providers (NGOs, medical practitioners and other agencies), which should be explored, fruitfully exploited and operationalised.’ (NUHM Draft) NGOs have proven to increase demand for health services, help people understand their rights and entitlements, develop local leadership to demand accountability from public providers and improve health seeking behaviours. It envisages the NGOs support the Mission in ‘undertaking situational analysis, identification and mapping of slums, identification &amp; capacity building of Link Volunteers and IEC/BCC activities.’ </w:t>
      </w:r>
    </w:p>
    <w:p w:rsidR="00FE4CDD" w:rsidRPr="006A68A4" w:rsidRDefault="00FE4CDD" w:rsidP="006A68A4">
      <w:pPr>
        <w:spacing w:line="264" w:lineRule="auto"/>
        <w:contextualSpacing/>
        <w:jc w:val="both"/>
        <w:rPr>
          <w:rFonts w:asciiTheme="majorHAnsi" w:hAnsiTheme="majorHAnsi" w:cs="Arial"/>
          <w:sz w:val="24"/>
          <w:szCs w:val="24"/>
        </w:rPr>
      </w:pPr>
    </w:p>
    <w:p w:rsidR="006A68A4" w:rsidRPr="006A68A4" w:rsidRDefault="006A68A4" w:rsidP="006A68A4">
      <w:pPr>
        <w:spacing w:line="264" w:lineRule="auto"/>
        <w:contextualSpacing/>
        <w:jc w:val="both"/>
        <w:rPr>
          <w:rFonts w:asciiTheme="majorHAnsi" w:hAnsiTheme="majorHAnsi" w:cs="TimesNewRomanPSMT"/>
          <w:b/>
          <w:sz w:val="24"/>
          <w:szCs w:val="24"/>
        </w:rPr>
      </w:pPr>
      <w:r w:rsidRPr="006A68A4">
        <w:rPr>
          <w:rFonts w:asciiTheme="majorHAnsi" w:hAnsiTheme="majorHAnsi" w:cs="TimesNewRomanPSMT"/>
          <w:b/>
          <w:sz w:val="24"/>
          <w:szCs w:val="24"/>
        </w:rPr>
        <w:t xml:space="preserve">Role of for-profit sector </w:t>
      </w:r>
    </w:p>
    <w:p w:rsidR="006A68A4" w:rsidRDefault="006A68A4" w:rsidP="006A68A4">
      <w:pPr>
        <w:spacing w:line="264" w:lineRule="auto"/>
        <w:contextualSpacing/>
        <w:jc w:val="both"/>
        <w:rPr>
          <w:rFonts w:asciiTheme="majorHAnsi" w:hAnsiTheme="majorHAnsi" w:cs="Arial"/>
          <w:sz w:val="24"/>
          <w:szCs w:val="24"/>
        </w:rPr>
      </w:pPr>
      <w:r w:rsidRPr="006A68A4">
        <w:rPr>
          <w:rFonts w:asciiTheme="majorHAnsi" w:hAnsiTheme="majorHAnsi" w:cs="Arial"/>
          <w:sz w:val="24"/>
          <w:szCs w:val="24"/>
        </w:rPr>
        <w:t>While the Draft aims to identify potential private partners, it also seeks to develop appropriate accreditation methods for ensuring quality as well as for reporting and monitoring mechanisms. It seeks to capitalize on the skills of potential partners, encouraging pooling of resources, and supplementing the investment burden on the Government of India’s resources deployed in the health sector.</w:t>
      </w:r>
    </w:p>
    <w:p w:rsidR="00370C4D" w:rsidRPr="006A68A4" w:rsidRDefault="00370C4D" w:rsidP="006A68A4">
      <w:pPr>
        <w:spacing w:line="264" w:lineRule="auto"/>
        <w:contextualSpacing/>
        <w:jc w:val="both"/>
        <w:rPr>
          <w:rFonts w:asciiTheme="majorHAnsi" w:hAnsiTheme="majorHAnsi" w:cs="Arial"/>
          <w:b/>
          <w:bCs/>
          <w:sz w:val="24"/>
          <w:szCs w:val="24"/>
        </w:rPr>
      </w:pPr>
    </w:p>
    <w:p w:rsidR="006A68A4" w:rsidRPr="006A68A4" w:rsidRDefault="006A68A4" w:rsidP="006A68A4">
      <w:pPr>
        <w:spacing w:after="0" w:line="264" w:lineRule="auto"/>
        <w:contextualSpacing/>
        <w:jc w:val="both"/>
        <w:rPr>
          <w:rFonts w:asciiTheme="majorHAnsi" w:eastAsia="Times New Roman" w:hAnsiTheme="majorHAnsi" w:cs="Arial"/>
          <w:sz w:val="24"/>
          <w:szCs w:val="24"/>
        </w:rPr>
      </w:pPr>
      <w:r w:rsidRPr="006A68A4">
        <w:rPr>
          <w:rFonts w:asciiTheme="majorHAnsi" w:eastAsia="Times New Roman" w:hAnsiTheme="majorHAnsi" w:cs="Arial"/>
          <w:sz w:val="24"/>
          <w:szCs w:val="24"/>
        </w:rPr>
        <w:lastRenderedPageBreak/>
        <w:t xml:space="preserve">While the potential of the private sector (both non-profit and for profit) in supplementing public efforts to achieve universal access to healthcare cannot be denied, the quality and standards of care in non-state providers are questionable. It may thus not be prudent to incorporate them in health service delivery unless a proper regulatory and monitoring mechanism has been put in place.  </w:t>
      </w:r>
    </w:p>
    <w:p w:rsidR="006A68A4" w:rsidRPr="006A68A4" w:rsidRDefault="006A68A4" w:rsidP="006A68A4">
      <w:pPr>
        <w:spacing w:after="0" w:line="264" w:lineRule="auto"/>
        <w:contextualSpacing/>
        <w:jc w:val="both"/>
        <w:rPr>
          <w:rFonts w:asciiTheme="majorHAnsi" w:eastAsia="Times New Roman" w:hAnsiTheme="majorHAnsi" w:cs="Arial"/>
          <w:sz w:val="24"/>
          <w:szCs w:val="24"/>
        </w:rPr>
      </w:pPr>
    </w:p>
    <w:p w:rsidR="006A68A4" w:rsidRPr="006A68A4" w:rsidRDefault="006A68A4" w:rsidP="006A68A4">
      <w:pPr>
        <w:spacing w:after="0" w:line="264" w:lineRule="auto"/>
        <w:contextualSpacing/>
        <w:jc w:val="both"/>
        <w:rPr>
          <w:rFonts w:asciiTheme="majorHAnsi" w:eastAsia="Times New Roman" w:hAnsiTheme="majorHAnsi" w:cs="Arial"/>
          <w:sz w:val="24"/>
          <w:szCs w:val="24"/>
        </w:rPr>
      </w:pPr>
      <w:r w:rsidRPr="006A68A4">
        <w:rPr>
          <w:rFonts w:asciiTheme="majorHAnsi" w:eastAsia="Times New Roman" w:hAnsiTheme="majorHAnsi" w:cs="Arial"/>
          <w:sz w:val="24"/>
          <w:szCs w:val="24"/>
        </w:rPr>
        <w:t>Moreover, there are a number of strategies, however, for improving the functioning of the private for-profit health sector in order to increase the quality, availability, and affordability of health care forpoorpeoplein lowand middle income countries. These strategies include regulation, contracting, social marketing, franchising, use of vouchers, training, pay for performance, and coordination(</w:t>
      </w:r>
      <w:r w:rsidRPr="006A68A4">
        <w:rPr>
          <w:rFonts w:asciiTheme="majorHAnsi" w:hAnsiTheme="majorHAnsi" w:cs="Times New Roman"/>
          <w:sz w:val="24"/>
          <w:szCs w:val="24"/>
        </w:rPr>
        <w:t>Leila H Abdullahi et al, 2012</w:t>
      </w:r>
      <w:r w:rsidRPr="006A68A4">
        <w:rPr>
          <w:rFonts w:asciiTheme="majorHAnsi" w:eastAsia="Times New Roman" w:hAnsiTheme="majorHAnsi" w:cs="Arial"/>
          <w:sz w:val="24"/>
          <w:szCs w:val="24"/>
        </w:rPr>
        <w:t>).</w:t>
      </w:r>
    </w:p>
    <w:p w:rsidR="006A68A4" w:rsidRPr="006A68A4" w:rsidRDefault="006A68A4" w:rsidP="006A68A4">
      <w:pPr>
        <w:spacing w:after="0" w:line="264" w:lineRule="auto"/>
        <w:contextualSpacing/>
        <w:jc w:val="both"/>
        <w:rPr>
          <w:rFonts w:asciiTheme="majorHAnsi" w:eastAsia="Times New Roman" w:hAnsiTheme="majorHAnsi" w:cs="Arial"/>
          <w:sz w:val="24"/>
          <w:szCs w:val="24"/>
        </w:rPr>
      </w:pPr>
    </w:p>
    <w:p w:rsidR="006A68A4" w:rsidRPr="006A68A4" w:rsidRDefault="006A68A4" w:rsidP="006A68A4">
      <w:pPr>
        <w:spacing w:line="264" w:lineRule="auto"/>
        <w:contextualSpacing/>
        <w:jc w:val="both"/>
        <w:rPr>
          <w:rFonts w:asciiTheme="majorHAnsi" w:hAnsiTheme="majorHAnsi" w:cs="TimesNewRomanPSMT"/>
          <w:b/>
          <w:sz w:val="24"/>
          <w:szCs w:val="24"/>
        </w:rPr>
      </w:pPr>
      <w:r w:rsidRPr="006A68A4">
        <w:rPr>
          <w:rFonts w:asciiTheme="majorHAnsi" w:hAnsiTheme="majorHAnsi" w:cs="TimesNewRomanPSMT"/>
          <w:b/>
          <w:sz w:val="24"/>
          <w:szCs w:val="24"/>
        </w:rPr>
        <w:t>Contracting out</w:t>
      </w:r>
    </w:p>
    <w:p w:rsidR="006A68A4" w:rsidRPr="006A68A4" w:rsidRDefault="006A68A4" w:rsidP="006A68A4">
      <w:pPr>
        <w:spacing w:after="0" w:line="264" w:lineRule="auto"/>
        <w:contextualSpacing/>
        <w:jc w:val="both"/>
        <w:rPr>
          <w:rFonts w:asciiTheme="majorHAnsi" w:eastAsia="Times New Roman" w:hAnsiTheme="majorHAnsi" w:cs="Times New Roman"/>
          <w:sz w:val="24"/>
          <w:szCs w:val="24"/>
        </w:rPr>
      </w:pPr>
      <w:r w:rsidRPr="006A68A4">
        <w:rPr>
          <w:rFonts w:asciiTheme="majorHAnsi" w:eastAsia="Times New Roman" w:hAnsiTheme="majorHAnsi" w:cs="Times New Roman"/>
          <w:sz w:val="24"/>
          <w:szCs w:val="24"/>
        </w:rPr>
        <w:t>Contracting is considered a financing strategy in the sense that it is a way of spending public sector funds to deliver services.Payment can be in a block sum or per activity (fee for service), or per head of the population covered by the contract (capitation).The purchaser (government or donor) usually monitors either by asking foractivity reportsfromtheproviderorby conducting their own surveys to establish the level of health care use and health outcome improvement in the population.</w:t>
      </w:r>
    </w:p>
    <w:p w:rsidR="006A68A4" w:rsidRPr="006A68A4" w:rsidRDefault="006A68A4" w:rsidP="006A68A4">
      <w:pPr>
        <w:spacing w:after="0" w:line="264" w:lineRule="auto"/>
        <w:contextualSpacing/>
        <w:jc w:val="both"/>
        <w:rPr>
          <w:rFonts w:asciiTheme="majorHAnsi" w:eastAsia="Times New Roman" w:hAnsiTheme="majorHAnsi" w:cs="Times New Roman"/>
          <w:sz w:val="24"/>
          <w:szCs w:val="24"/>
        </w:rPr>
      </w:pPr>
    </w:p>
    <w:p w:rsidR="006A68A4" w:rsidRPr="006A68A4" w:rsidRDefault="006A68A4" w:rsidP="006A68A4">
      <w:pPr>
        <w:spacing w:after="0" w:line="264" w:lineRule="auto"/>
        <w:contextualSpacing/>
        <w:jc w:val="both"/>
        <w:rPr>
          <w:rFonts w:asciiTheme="majorHAnsi" w:eastAsia="Times New Roman" w:hAnsiTheme="majorHAnsi" w:cs="Times New Roman"/>
          <w:sz w:val="24"/>
          <w:szCs w:val="24"/>
        </w:rPr>
      </w:pPr>
      <w:r w:rsidRPr="006A68A4">
        <w:rPr>
          <w:rFonts w:asciiTheme="majorHAnsi" w:eastAsia="Times New Roman" w:hAnsiTheme="majorHAnsi" w:cs="Times New Roman"/>
          <w:sz w:val="24"/>
          <w:szCs w:val="24"/>
        </w:rPr>
        <w:t xml:space="preserve">Studies suggest that contracting out services to non-state providers can increase access and utilisation of health services. One study found a reduction in out-of-pocket expenditures and improvement in some health outcomes. </w:t>
      </w:r>
    </w:p>
    <w:p w:rsidR="006A68A4" w:rsidRPr="006A68A4" w:rsidRDefault="006A68A4" w:rsidP="006A68A4">
      <w:pPr>
        <w:spacing w:after="0" w:line="264" w:lineRule="auto"/>
        <w:contextualSpacing/>
        <w:jc w:val="both"/>
        <w:rPr>
          <w:rFonts w:asciiTheme="majorHAnsi" w:eastAsia="Times New Roman" w:hAnsiTheme="majorHAnsi" w:cs="Times New Roman"/>
          <w:sz w:val="24"/>
          <w:szCs w:val="24"/>
        </w:rPr>
      </w:pPr>
    </w:p>
    <w:p w:rsidR="006A68A4" w:rsidRPr="006A68A4" w:rsidRDefault="006A68A4" w:rsidP="006A68A4">
      <w:pPr>
        <w:autoSpaceDE w:val="0"/>
        <w:autoSpaceDN w:val="0"/>
        <w:adjustRightInd w:val="0"/>
        <w:spacing w:after="0" w:line="264" w:lineRule="auto"/>
        <w:contextualSpacing/>
        <w:jc w:val="both"/>
        <w:rPr>
          <w:rFonts w:asciiTheme="majorHAnsi" w:hAnsiTheme="majorHAnsi" w:cs="Cambria"/>
          <w:sz w:val="24"/>
          <w:szCs w:val="24"/>
        </w:rPr>
      </w:pPr>
      <w:r w:rsidRPr="006A68A4">
        <w:rPr>
          <w:rFonts w:asciiTheme="majorHAnsi" w:hAnsiTheme="majorHAnsi" w:cs="Cambria"/>
          <w:sz w:val="24"/>
          <w:szCs w:val="24"/>
        </w:rPr>
        <w:t>The HLEG Report also suggests complementing the direct provision of health services by the government withthe purchase of additional services from contractedin private providers by the government. According to the report, the use of independent agents (such as in RSBY)  fragments the nature of care being provided,and over time, leads to high health care cost inflation and lower levels of wellness. It becomes necessary,therefore, to either explore a completely different approach towards the use of insurance companiesand independent agents – more in the “managed care” framework, where they take on explicit populationlevel health outcome responsibilities or invest further in the capacity of the Ministries and Departments ofHealth to directly provide and purchase services from contracted-in private providers wherever necessary.</w:t>
      </w:r>
    </w:p>
    <w:p w:rsidR="006A68A4" w:rsidRPr="006A68A4" w:rsidRDefault="006A68A4" w:rsidP="006A68A4">
      <w:pPr>
        <w:autoSpaceDE w:val="0"/>
        <w:autoSpaceDN w:val="0"/>
        <w:adjustRightInd w:val="0"/>
        <w:spacing w:after="0" w:line="264" w:lineRule="auto"/>
        <w:contextualSpacing/>
        <w:jc w:val="both"/>
        <w:rPr>
          <w:rFonts w:asciiTheme="majorHAnsi" w:eastAsia="Times New Roman" w:hAnsiTheme="majorHAnsi" w:cs="Times New Roman"/>
          <w:sz w:val="24"/>
          <w:szCs w:val="24"/>
        </w:rPr>
      </w:pPr>
    </w:p>
    <w:p w:rsidR="006A68A4" w:rsidRPr="006A68A4" w:rsidRDefault="006A68A4" w:rsidP="006A68A4">
      <w:pPr>
        <w:spacing w:line="264" w:lineRule="auto"/>
        <w:contextualSpacing/>
        <w:jc w:val="both"/>
        <w:rPr>
          <w:rFonts w:asciiTheme="majorHAnsi" w:hAnsiTheme="majorHAnsi" w:cstheme="minorHAnsi"/>
          <w:b/>
          <w:sz w:val="24"/>
          <w:szCs w:val="24"/>
        </w:rPr>
      </w:pPr>
      <w:r w:rsidRPr="006A68A4">
        <w:rPr>
          <w:rFonts w:asciiTheme="majorHAnsi" w:hAnsiTheme="majorHAnsi" w:cstheme="minorHAnsi"/>
          <w:b/>
          <w:sz w:val="24"/>
          <w:szCs w:val="24"/>
        </w:rPr>
        <w:t>e) What should be the systems of regulation of private and public health services?</w:t>
      </w:r>
    </w:p>
    <w:p w:rsidR="006A68A4" w:rsidRPr="006A68A4" w:rsidRDefault="006A68A4" w:rsidP="006A68A4">
      <w:pPr>
        <w:spacing w:after="0" w:line="264" w:lineRule="auto"/>
        <w:contextualSpacing/>
        <w:jc w:val="both"/>
        <w:rPr>
          <w:rFonts w:asciiTheme="majorHAnsi" w:hAnsiTheme="majorHAnsi" w:cstheme="minorHAnsi"/>
          <w:b/>
          <w:sz w:val="24"/>
          <w:szCs w:val="24"/>
        </w:rPr>
      </w:pPr>
      <w:r w:rsidRPr="006A68A4">
        <w:rPr>
          <w:rFonts w:asciiTheme="majorHAnsi" w:hAnsiTheme="majorHAnsi" w:cstheme="minorHAnsi"/>
          <w:b/>
          <w:sz w:val="24"/>
          <w:szCs w:val="24"/>
        </w:rPr>
        <w:t>Structure of private sectors in Urban Areas</w:t>
      </w:r>
    </w:p>
    <w:p w:rsidR="006A68A4" w:rsidRPr="006A68A4" w:rsidRDefault="006A68A4" w:rsidP="006A68A4">
      <w:pPr>
        <w:spacing w:after="0" w:line="264" w:lineRule="auto"/>
        <w:contextualSpacing/>
        <w:jc w:val="both"/>
        <w:rPr>
          <w:rFonts w:asciiTheme="majorHAnsi" w:hAnsiTheme="majorHAnsi" w:cstheme="minorHAnsi"/>
          <w:sz w:val="24"/>
          <w:szCs w:val="24"/>
        </w:rPr>
      </w:pPr>
      <w:r w:rsidRPr="006A68A4">
        <w:rPr>
          <w:rFonts w:asciiTheme="majorHAnsi" w:hAnsiTheme="majorHAnsi" w:cstheme="minorHAnsi"/>
          <w:sz w:val="24"/>
          <w:szCs w:val="24"/>
        </w:rPr>
        <w:t xml:space="preserve">Private sector in urban areas encompasses individual private practitioners, formal for profit group comprising individual clinics and nursing homes, large corporate hospital chains with tertiary facilities, pharmacies and not-for-profit providers such as charitable clinics, religious facilities and non-governmental organizations. Moreover, the sector is not </w:t>
      </w:r>
      <w:r w:rsidRPr="006A68A4">
        <w:rPr>
          <w:rFonts w:asciiTheme="majorHAnsi" w:hAnsiTheme="majorHAnsi" w:cstheme="minorHAnsi"/>
          <w:sz w:val="24"/>
          <w:szCs w:val="24"/>
        </w:rPr>
        <w:lastRenderedPageBreak/>
        <w:t>confined to just allopathic practitioners. There are nearly twice as many practitioners qualified and practicing various other Indian systems of medicine and Homeopathy (Barua et al, 2009). The regulator</w:t>
      </w:r>
      <w:r w:rsidR="00A368D4">
        <w:rPr>
          <w:rFonts w:asciiTheme="majorHAnsi" w:hAnsiTheme="majorHAnsi" w:cstheme="minorHAnsi"/>
          <w:sz w:val="24"/>
          <w:szCs w:val="24"/>
        </w:rPr>
        <w:t>y planning requires being multi-</w:t>
      </w:r>
      <w:r w:rsidRPr="006A68A4">
        <w:rPr>
          <w:rFonts w:asciiTheme="majorHAnsi" w:hAnsiTheme="majorHAnsi" w:cstheme="minorHAnsi"/>
          <w:sz w:val="24"/>
          <w:szCs w:val="24"/>
        </w:rPr>
        <w:t>pronged as this sector is heterogeneous and both the scale of operations as well as quality of care varies.</w:t>
      </w:r>
    </w:p>
    <w:p w:rsidR="006A68A4" w:rsidRPr="006A68A4" w:rsidRDefault="006A68A4" w:rsidP="006A68A4">
      <w:pPr>
        <w:spacing w:after="0" w:line="264" w:lineRule="auto"/>
        <w:contextualSpacing/>
        <w:jc w:val="both"/>
        <w:rPr>
          <w:rFonts w:asciiTheme="majorHAnsi" w:hAnsiTheme="majorHAnsi" w:cstheme="minorHAnsi"/>
          <w:sz w:val="24"/>
          <w:szCs w:val="24"/>
        </w:rPr>
      </w:pPr>
    </w:p>
    <w:p w:rsidR="006A68A4" w:rsidRDefault="006A68A4" w:rsidP="006A68A4">
      <w:pPr>
        <w:spacing w:line="264" w:lineRule="auto"/>
        <w:contextualSpacing/>
        <w:jc w:val="both"/>
        <w:rPr>
          <w:rFonts w:asciiTheme="majorHAnsi" w:hAnsiTheme="majorHAnsi" w:cstheme="minorHAnsi"/>
          <w:bCs/>
          <w:sz w:val="24"/>
          <w:szCs w:val="24"/>
        </w:rPr>
      </w:pPr>
      <w:r w:rsidRPr="006A68A4">
        <w:rPr>
          <w:rFonts w:asciiTheme="majorHAnsi" w:hAnsiTheme="majorHAnsi" w:cstheme="minorHAnsi"/>
          <w:sz w:val="24"/>
          <w:szCs w:val="24"/>
        </w:rPr>
        <w:t xml:space="preserve">Despite the presence of a vast public health network, in the absence of urban primary health care services, most of the urban vulnerable population seeks the care from the private providers. Due to their various social and economic vulnerabilities, less than fully qualified private practitioners become the first point of contact for them to seek medical care (Barua and Pandav, 2011). Though the quality of care is questionable, they play a crucial role in providing immediate care to this population. </w:t>
      </w:r>
      <w:r w:rsidRPr="006A68A4">
        <w:rPr>
          <w:rFonts w:asciiTheme="majorHAnsi" w:hAnsiTheme="majorHAnsi" w:cstheme="minorHAnsi"/>
          <w:bCs/>
          <w:sz w:val="24"/>
          <w:szCs w:val="24"/>
        </w:rPr>
        <w:t xml:space="preserve">Widely perceived to be inequitable, expensive, over indulgent in clinical procedures, and without standards of quality, the private sector is also seen to be easily accessible, better managed and more efficient than its public counterpart which struggles with its institutional shortcomings </w:t>
      </w:r>
      <w:r w:rsidRPr="006A68A4">
        <w:rPr>
          <w:rFonts w:asciiTheme="majorHAnsi" w:hAnsiTheme="majorHAnsi" w:cstheme="minorHAnsi"/>
          <w:sz w:val="24"/>
          <w:szCs w:val="24"/>
        </w:rPr>
        <w:t>(Barua et al, 2009)</w:t>
      </w:r>
      <w:r w:rsidRPr="006A68A4">
        <w:rPr>
          <w:rFonts w:asciiTheme="majorHAnsi" w:hAnsiTheme="majorHAnsi" w:cstheme="minorHAnsi"/>
          <w:bCs/>
          <w:sz w:val="24"/>
          <w:szCs w:val="24"/>
        </w:rPr>
        <w:t xml:space="preserve">. Thus it makes sensible to find ways to involve them with proper regulation and monitoring. </w:t>
      </w:r>
    </w:p>
    <w:p w:rsidR="00A368D4" w:rsidRPr="006A68A4" w:rsidRDefault="00A368D4" w:rsidP="006A68A4">
      <w:pPr>
        <w:spacing w:line="264" w:lineRule="auto"/>
        <w:contextualSpacing/>
        <w:jc w:val="both"/>
        <w:rPr>
          <w:rFonts w:asciiTheme="majorHAnsi" w:hAnsiTheme="majorHAnsi" w:cstheme="minorHAnsi"/>
          <w:bCs/>
          <w:sz w:val="24"/>
          <w:szCs w:val="24"/>
        </w:rPr>
      </w:pPr>
    </w:p>
    <w:p w:rsidR="006A68A4" w:rsidRDefault="006A68A4" w:rsidP="006A68A4">
      <w:pPr>
        <w:spacing w:line="264" w:lineRule="auto"/>
        <w:contextualSpacing/>
        <w:jc w:val="both"/>
        <w:rPr>
          <w:rFonts w:asciiTheme="majorHAnsi" w:hAnsiTheme="majorHAnsi" w:cstheme="minorHAnsi"/>
          <w:bCs/>
          <w:sz w:val="24"/>
          <w:szCs w:val="24"/>
        </w:rPr>
      </w:pPr>
      <w:r w:rsidRPr="006A68A4">
        <w:rPr>
          <w:rFonts w:asciiTheme="majorHAnsi" w:hAnsiTheme="majorHAnsi" w:cstheme="minorHAnsi"/>
          <w:bCs/>
          <w:sz w:val="24"/>
          <w:szCs w:val="24"/>
        </w:rPr>
        <w:t xml:space="preserve">Various studies conducted on private health provision state that the legislative framework requires strengthening and robust implementation. While the private sector has to be incorporated into the consumer protection act (1986) or kept under the regulation of MCI, it is unlikely that they will be regulated until mechanisms are framed keeping most vulnerable in mind. Rational drug prescribing is an imperative that cannot be ignored. Since less than fully qualified practitioners and private clinics/nursing homes appear to be first contact of providing health services to the urban poor, they need to be co-opted into the intervention programmes for the poor. Clear definition of the parameters and standard treatment guidelines needs to be framed to define the exact nature of their functions. Referral protocols and service delivery linkages established at all levels between public and private health care facilities could be framed for better coverage and delivery of services. </w:t>
      </w:r>
    </w:p>
    <w:p w:rsidR="00A368D4" w:rsidRPr="006A68A4" w:rsidRDefault="00A368D4" w:rsidP="006A68A4">
      <w:pPr>
        <w:spacing w:line="264" w:lineRule="auto"/>
        <w:contextualSpacing/>
        <w:jc w:val="both"/>
        <w:rPr>
          <w:rFonts w:asciiTheme="majorHAnsi" w:hAnsiTheme="majorHAnsi" w:cstheme="minorHAnsi"/>
          <w:bCs/>
          <w:sz w:val="24"/>
          <w:szCs w:val="24"/>
        </w:rPr>
      </w:pPr>
    </w:p>
    <w:p w:rsidR="006A68A4" w:rsidRDefault="006A68A4" w:rsidP="006A68A4">
      <w:pPr>
        <w:spacing w:line="264" w:lineRule="auto"/>
        <w:contextualSpacing/>
        <w:jc w:val="both"/>
        <w:rPr>
          <w:rFonts w:asciiTheme="majorHAnsi" w:hAnsiTheme="majorHAnsi" w:cstheme="minorHAnsi"/>
          <w:sz w:val="24"/>
          <w:szCs w:val="24"/>
        </w:rPr>
      </w:pPr>
      <w:r w:rsidRPr="006A68A4">
        <w:rPr>
          <w:rFonts w:asciiTheme="majorHAnsi" w:hAnsiTheme="majorHAnsi" w:cstheme="minorHAnsi"/>
          <w:b/>
          <w:sz w:val="24"/>
          <w:szCs w:val="24"/>
        </w:rPr>
        <w:t xml:space="preserve">Evidence on the effectiveness of current regulatory frameworks and mechanisms prevalent in India and other Low and middle income countries: </w:t>
      </w:r>
      <w:r w:rsidRPr="006A68A4">
        <w:rPr>
          <w:rFonts w:asciiTheme="majorHAnsi" w:hAnsiTheme="majorHAnsi" w:cstheme="minorHAnsi"/>
          <w:sz w:val="24"/>
          <w:szCs w:val="24"/>
        </w:rPr>
        <w:t xml:space="preserve">The experiences of health service-related regulations in many LMIC reveal that the existence of basic regulations does not automatically imply their adequate enforcement and performance (Yesudian 1994; Bennett and Ngalande-Banda 1994; Kumaranayake 1997; Mujinja 2003; Matsebula, Goudge and Gilson 2005). Evidence is scarce for the effectiveness of various approaches, including provider re-licensing, regulations on dual practice, different models for regulation of the private sector and how professional bodies can be made more effective in regulation (Ranson, Chopra et al 2010). Different mechanisms have had limited success at scale, and regulation of health care provision remains one of the pre-eminent challenges for future health policy in India and other LMIC. Indian civilian courts have had </w:t>
      </w:r>
      <w:r w:rsidRPr="006A68A4">
        <w:rPr>
          <w:rFonts w:asciiTheme="majorHAnsi" w:hAnsiTheme="majorHAnsi" w:cstheme="minorHAnsi"/>
          <w:sz w:val="24"/>
          <w:szCs w:val="24"/>
        </w:rPr>
        <w:lastRenderedPageBreak/>
        <w:t>limited effectiveness in dealing with medical negligence (Peters and Muraleedharan 2008) and have tended to rule in favour of providers (Verma, Srivastava and Jilani 2002).</w:t>
      </w:r>
    </w:p>
    <w:p w:rsidR="00A368D4" w:rsidRPr="006A68A4" w:rsidRDefault="00A368D4" w:rsidP="006A68A4">
      <w:pPr>
        <w:spacing w:line="264" w:lineRule="auto"/>
        <w:contextualSpacing/>
        <w:jc w:val="both"/>
        <w:rPr>
          <w:rFonts w:asciiTheme="majorHAnsi" w:hAnsiTheme="majorHAnsi" w:cstheme="minorHAnsi"/>
          <w:b/>
          <w:sz w:val="24"/>
          <w:szCs w:val="24"/>
        </w:rPr>
      </w:pPr>
    </w:p>
    <w:p w:rsidR="006A68A4" w:rsidRDefault="006A68A4" w:rsidP="006A68A4">
      <w:pPr>
        <w:spacing w:line="264" w:lineRule="auto"/>
        <w:contextualSpacing/>
        <w:jc w:val="both"/>
        <w:rPr>
          <w:rFonts w:asciiTheme="majorHAnsi" w:hAnsiTheme="majorHAnsi" w:cstheme="minorHAnsi"/>
          <w:sz w:val="24"/>
          <w:szCs w:val="24"/>
        </w:rPr>
      </w:pPr>
      <w:r w:rsidRPr="006A68A4">
        <w:rPr>
          <w:rFonts w:asciiTheme="majorHAnsi" w:hAnsiTheme="majorHAnsi" w:cstheme="minorHAnsi"/>
          <w:sz w:val="24"/>
          <w:szCs w:val="24"/>
        </w:rPr>
        <w:t xml:space="preserve">It has been documented by various authors that inefficiencies in legal mechanisms are due to lack of specificity and detail in the framing of relevant legislations (Kumaranayake 1998; Peters and Muraleedharan 2008). Additionally, in the event that legal controls are found to be well established on paper, their implementation is often questionable (Bearak 2000; Peters and Muraleedharan 2008). Knowledge about relevant laws and regulations among those concerned can be low (Hongoro and Kumaranayake 2000). Consumer law is now widely applicable for medical care in LMIC, but is underutilized.  </w:t>
      </w:r>
    </w:p>
    <w:p w:rsidR="00A368D4" w:rsidRPr="006A68A4" w:rsidRDefault="00A368D4" w:rsidP="006A68A4">
      <w:pPr>
        <w:spacing w:line="264" w:lineRule="auto"/>
        <w:contextualSpacing/>
        <w:jc w:val="both"/>
        <w:rPr>
          <w:rFonts w:asciiTheme="majorHAnsi" w:hAnsiTheme="majorHAnsi" w:cstheme="minorHAnsi"/>
          <w:sz w:val="24"/>
          <w:szCs w:val="24"/>
        </w:rPr>
      </w:pPr>
    </w:p>
    <w:p w:rsidR="006A68A4" w:rsidRPr="006A68A4" w:rsidRDefault="006A68A4" w:rsidP="006A68A4">
      <w:pPr>
        <w:spacing w:line="264" w:lineRule="auto"/>
        <w:contextualSpacing/>
        <w:jc w:val="both"/>
        <w:rPr>
          <w:rFonts w:asciiTheme="majorHAnsi" w:hAnsiTheme="majorHAnsi"/>
          <w:sz w:val="24"/>
          <w:szCs w:val="24"/>
        </w:rPr>
      </w:pPr>
      <w:r w:rsidRPr="006A68A4">
        <w:rPr>
          <w:rFonts w:asciiTheme="majorHAnsi" w:hAnsiTheme="majorHAnsi" w:cstheme="minorHAnsi"/>
          <w:sz w:val="24"/>
          <w:szCs w:val="24"/>
        </w:rPr>
        <w:t xml:space="preserve">According to the WHO report, </w:t>
      </w:r>
      <w:r w:rsidRPr="006A68A4">
        <w:rPr>
          <w:rFonts w:asciiTheme="majorHAnsi" w:hAnsiTheme="majorHAnsi"/>
          <w:sz w:val="24"/>
          <w:szCs w:val="24"/>
        </w:rPr>
        <w:t>there is evidence that internal mechanisms of organizational and personal development have repeatedly failed to ensure safety, efficiency, best practice and public accountability. Whether mechanisms for external regulation can effect quality improvement and whether they can be combined into a new format are questions for every country to consider.</w:t>
      </w:r>
    </w:p>
    <w:p w:rsidR="006A68A4" w:rsidRDefault="006A68A4" w:rsidP="006A68A4">
      <w:pPr>
        <w:spacing w:line="264" w:lineRule="auto"/>
        <w:contextualSpacing/>
        <w:jc w:val="both"/>
        <w:rPr>
          <w:rFonts w:asciiTheme="majorHAnsi" w:hAnsiTheme="majorHAnsi"/>
          <w:sz w:val="24"/>
          <w:szCs w:val="24"/>
        </w:rPr>
      </w:pPr>
    </w:p>
    <w:p w:rsidR="00A368D4" w:rsidRPr="006A68A4" w:rsidRDefault="00A368D4" w:rsidP="006A68A4">
      <w:pPr>
        <w:spacing w:line="264" w:lineRule="auto"/>
        <w:contextualSpacing/>
        <w:jc w:val="both"/>
        <w:rPr>
          <w:rFonts w:asciiTheme="majorHAnsi" w:hAnsiTheme="majorHAnsi"/>
          <w:sz w:val="24"/>
          <w:szCs w:val="24"/>
        </w:rPr>
      </w:pPr>
    </w:p>
    <w:p w:rsidR="006A68A4" w:rsidRPr="006A68A4" w:rsidRDefault="006A68A4" w:rsidP="006A68A4">
      <w:pPr>
        <w:spacing w:line="264" w:lineRule="auto"/>
        <w:contextualSpacing/>
        <w:jc w:val="both"/>
        <w:rPr>
          <w:rFonts w:asciiTheme="majorHAnsi" w:hAnsiTheme="majorHAnsi"/>
          <w:b/>
          <w:sz w:val="24"/>
          <w:szCs w:val="24"/>
        </w:rPr>
      </w:pPr>
      <w:r w:rsidRPr="006A68A4">
        <w:rPr>
          <w:rFonts w:asciiTheme="majorHAnsi" w:hAnsiTheme="majorHAnsi"/>
          <w:b/>
          <w:sz w:val="24"/>
          <w:szCs w:val="24"/>
        </w:rPr>
        <w:t>References</w:t>
      </w:r>
    </w:p>
    <w:p w:rsidR="006A68A4" w:rsidRPr="001913F1" w:rsidRDefault="006A68A4" w:rsidP="006A68A4">
      <w:pPr>
        <w:spacing w:line="264" w:lineRule="auto"/>
        <w:contextualSpacing/>
        <w:jc w:val="both"/>
        <w:rPr>
          <w:rFonts w:asciiTheme="majorHAnsi" w:hAnsiTheme="majorHAnsi"/>
        </w:rPr>
      </w:pPr>
      <w:r w:rsidRPr="006A68A4">
        <w:rPr>
          <w:rFonts w:asciiTheme="majorHAnsi" w:hAnsiTheme="majorHAnsi"/>
          <w:sz w:val="24"/>
          <w:szCs w:val="24"/>
        </w:rPr>
        <w:t xml:space="preserve">1.  ArdeshirS and Robert K. 2001. Are the user charges equity and efficiency enhancing? </w:t>
      </w:r>
      <w:r w:rsidRPr="001913F1">
        <w:rPr>
          <w:rFonts w:asciiTheme="majorHAnsi" w:hAnsiTheme="majorHAnsi"/>
        </w:rPr>
        <w:t>Journal of International Development 13, 183-209.</w:t>
      </w:r>
    </w:p>
    <w:p w:rsidR="006A68A4" w:rsidRPr="001913F1" w:rsidRDefault="006A68A4" w:rsidP="006A68A4">
      <w:pPr>
        <w:spacing w:line="264" w:lineRule="auto"/>
        <w:contextualSpacing/>
        <w:jc w:val="both"/>
        <w:rPr>
          <w:rFonts w:asciiTheme="majorHAnsi" w:hAnsiTheme="majorHAnsi"/>
        </w:rPr>
      </w:pPr>
      <w:r w:rsidRPr="001913F1">
        <w:rPr>
          <w:rFonts w:asciiTheme="majorHAnsi" w:hAnsiTheme="majorHAnsi"/>
        </w:rPr>
        <w:t>2.  Prinja S, Kumar A, Kumar R &amp; Kanavos P. 2012. User charges in health care: evidence of effect on service utilization &amp; equity from north India. Indian J Med Res 136, pp 868-876.</w:t>
      </w:r>
    </w:p>
    <w:p w:rsidR="006A68A4" w:rsidRPr="001913F1" w:rsidRDefault="006A68A4" w:rsidP="006A68A4">
      <w:pPr>
        <w:spacing w:line="264" w:lineRule="auto"/>
        <w:contextualSpacing/>
        <w:jc w:val="both"/>
        <w:rPr>
          <w:rFonts w:asciiTheme="majorHAnsi" w:hAnsiTheme="majorHAnsi"/>
        </w:rPr>
      </w:pPr>
      <w:r w:rsidRPr="001913F1">
        <w:rPr>
          <w:rFonts w:asciiTheme="majorHAnsi" w:hAnsiTheme="majorHAnsi"/>
        </w:rPr>
        <w:t xml:space="preserve"> 3. Jackson T, Hanson K, Witty C, Ansah E. 2012. Who Benefits from Removing User Fees for Health Care? Evidence from a Randomised Experiment in Ghana.London School of Hygiene and Tropical Medicine; University of Oxford.</w:t>
      </w:r>
    </w:p>
    <w:p w:rsidR="006A68A4" w:rsidRPr="001913F1" w:rsidRDefault="006A68A4" w:rsidP="006A68A4">
      <w:pPr>
        <w:spacing w:line="264" w:lineRule="auto"/>
        <w:contextualSpacing/>
        <w:jc w:val="both"/>
        <w:rPr>
          <w:rFonts w:asciiTheme="majorHAnsi" w:hAnsiTheme="majorHAnsi"/>
        </w:rPr>
      </w:pPr>
      <w:r w:rsidRPr="001913F1">
        <w:rPr>
          <w:rFonts w:asciiTheme="majorHAnsi" w:hAnsiTheme="majorHAnsi"/>
        </w:rPr>
        <w:t>4. Ligarde M, Palmer N. 2011. The impact of user fees on access to health services in low- and middle-income countries (Review) 67.The Cochrane Collaboration. Published by JohnWiley&amp; Sons, Ltd.</w:t>
      </w:r>
    </w:p>
    <w:p w:rsidR="006A68A4" w:rsidRPr="001913F1" w:rsidRDefault="006A68A4" w:rsidP="006A68A4">
      <w:pPr>
        <w:spacing w:line="264" w:lineRule="auto"/>
        <w:contextualSpacing/>
        <w:jc w:val="both"/>
        <w:rPr>
          <w:rFonts w:asciiTheme="majorHAnsi" w:hAnsiTheme="majorHAnsi"/>
        </w:rPr>
      </w:pPr>
      <w:r w:rsidRPr="001913F1">
        <w:rPr>
          <w:rFonts w:asciiTheme="majorHAnsi" w:hAnsiTheme="majorHAnsi"/>
        </w:rPr>
        <w:t>5. GarcíaMartí S, Ciapponi A. 2008. Do user fees have an impact on the access to health services? A Support Summary of a systematic review.</w:t>
      </w:r>
    </w:p>
    <w:p w:rsidR="006A68A4" w:rsidRPr="001913F1" w:rsidRDefault="006A68A4" w:rsidP="006A68A4">
      <w:pPr>
        <w:spacing w:line="264" w:lineRule="auto"/>
        <w:contextualSpacing/>
        <w:jc w:val="both"/>
        <w:rPr>
          <w:rFonts w:asciiTheme="majorHAnsi" w:hAnsiTheme="majorHAnsi"/>
        </w:rPr>
      </w:pPr>
      <w:r w:rsidRPr="001913F1">
        <w:rPr>
          <w:rFonts w:asciiTheme="majorHAnsi" w:hAnsiTheme="majorHAnsi"/>
        </w:rPr>
        <w:t>6. Abdullahi, Leila H, Gregory D Hussey, Hassan Mahomed, and Charles SheyWiysonge.“Public Stewardship of Private For-profit Health Care in Low- and Middle-income Countries.”In Cochrane Database of Systematic Reviews.John Wiley &amp; Sons, Ltd, 2012. http://onlinelibrary.wiley.com/doi/10.1002/14651858.CD009855/abstract.</w:t>
      </w:r>
    </w:p>
    <w:p w:rsidR="006A68A4" w:rsidRPr="001913F1" w:rsidRDefault="006A68A4" w:rsidP="006A68A4">
      <w:pPr>
        <w:spacing w:line="264" w:lineRule="auto"/>
        <w:contextualSpacing/>
        <w:jc w:val="both"/>
        <w:rPr>
          <w:rFonts w:asciiTheme="majorHAnsi" w:hAnsiTheme="majorHAnsi"/>
        </w:rPr>
      </w:pPr>
      <w:r w:rsidRPr="001913F1">
        <w:rPr>
          <w:rFonts w:asciiTheme="majorHAnsi" w:hAnsiTheme="majorHAnsi"/>
        </w:rPr>
        <w:t>7. Ghosh, Soumitra. “Catastrophic Payments and Impoverishment Due to Out-of-Pocket Health Spending.”Economic and Political Weekly (November 19, 2011). http://www.epw.in/special-articles/catastrophic-payments-and-impoverishment-due-out-pocket-health-spending.html.</w:t>
      </w:r>
    </w:p>
    <w:p w:rsidR="006A68A4" w:rsidRPr="001913F1" w:rsidRDefault="006A68A4" w:rsidP="006A68A4">
      <w:pPr>
        <w:spacing w:line="264" w:lineRule="auto"/>
        <w:contextualSpacing/>
        <w:jc w:val="both"/>
        <w:rPr>
          <w:rFonts w:asciiTheme="majorHAnsi" w:hAnsiTheme="majorHAnsi"/>
        </w:rPr>
      </w:pPr>
      <w:r w:rsidRPr="001913F1">
        <w:rPr>
          <w:rFonts w:asciiTheme="majorHAnsi" w:hAnsiTheme="majorHAnsi"/>
        </w:rPr>
        <w:t>8. High Level Expert Group Report on Universal Health Coverage for India. New Delhi: Planning Commission of India. Accessed September 25, 2013. http://planningcommission.nic.in/reports/genrep/rep_uhc0812.pdf.</w:t>
      </w:r>
    </w:p>
    <w:p w:rsidR="006A68A4" w:rsidRPr="001913F1" w:rsidRDefault="006A68A4" w:rsidP="006A68A4">
      <w:pPr>
        <w:spacing w:line="264" w:lineRule="auto"/>
        <w:contextualSpacing/>
        <w:jc w:val="both"/>
        <w:rPr>
          <w:rFonts w:asciiTheme="majorHAnsi" w:hAnsiTheme="majorHAnsi"/>
        </w:rPr>
      </w:pPr>
      <w:r w:rsidRPr="001913F1">
        <w:rPr>
          <w:rFonts w:asciiTheme="majorHAnsi" w:hAnsiTheme="majorHAnsi"/>
        </w:rPr>
        <w:lastRenderedPageBreak/>
        <w:t>9. Ministry of Health and Family Welfare.Annual Report to the People on Health. New Delhi: Ministry of Health and Family Welfare, Government of India, December 2011. http://mohfw.nic.in/showfile.php?lid=1049.</w:t>
      </w:r>
    </w:p>
    <w:p w:rsidR="006A68A4" w:rsidRPr="001913F1" w:rsidRDefault="006A68A4" w:rsidP="006A68A4">
      <w:pPr>
        <w:spacing w:line="264" w:lineRule="auto"/>
        <w:contextualSpacing/>
        <w:jc w:val="both"/>
        <w:rPr>
          <w:rFonts w:asciiTheme="majorHAnsi" w:hAnsiTheme="majorHAnsi"/>
        </w:rPr>
      </w:pPr>
      <w:r w:rsidRPr="001913F1">
        <w:rPr>
          <w:rFonts w:asciiTheme="majorHAnsi" w:hAnsiTheme="majorHAnsi"/>
        </w:rPr>
        <w:t>10. Rao, M. Govinda, and MitaChoudhury. Health Care Financing Reforms in India, 2012. http://newweb.nipfp.org.in/sites/default/files/wp_2012_100.pdf.</w:t>
      </w:r>
    </w:p>
    <w:p w:rsidR="006A68A4" w:rsidRPr="001913F1" w:rsidRDefault="006A68A4" w:rsidP="006A68A4">
      <w:pPr>
        <w:spacing w:line="264" w:lineRule="auto"/>
        <w:contextualSpacing/>
        <w:jc w:val="both"/>
        <w:rPr>
          <w:rFonts w:asciiTheme="majorHAnsi" w:hAnsiTheme="majorHAnsi"/>
        </w:rPr>
      </w:pPr>
      <w:r w:rsidRPr="001913F1">
        <w:rPr>
          <w:rFonts w:asciiTheme="majorHAnsi" w:hAnsiTheme="majorHAnsi"/>
        </w:rPr>
        <w:t>11. NUHM Draft Framework</w:t>
      </w:r>
    </w:p>
    <w:p w:rsidR="006A68A4" w:rsidRPr="001913F1" w:rsidRDefault="006A68A4" w:rsidP="006A68A4">
      <w:pPr>
        <w:spacing w:line="264" w:lineRule="auto"/>
        <w:contextualSpacing/>
        <w:jc w:val="both"/>
        <w:rPr>
          <w:rFonts w:asciiTheme="majorHAnsi" w:hAnsiTheme="majorHAnsi" w:cs="Times New Roman"/>
        </w:rPr>
      </w:pPr>
      <w:r w:rsidRPr="001913F1">
        <w:rPr>
          <w:rFonts w:asciiTheme="majorHAnsi" w:hAnsiTheme="majorHAnsi" w:cs="Times New Roman"/>
        </w:rPr>
        <w:t xml:space="preserve">12. Chowdhury, S. 2011. “Public Retreat, Private Expenses and Penury–A Study of Illness Induced Impoverishment in Urban India.” </w:t>
      </w:r>
    </w:p>
    <w:p w:rsidR="006A68A4" w:rsidRPr="001913F1" w:rsidRDefault="006A68A4" w:rsidP="006A68A4">
      <w:pPr>
        <w:spacing w:line="264" w:lineRule="auto"/>
        <w:contextualSpacing/>
        <w:jc w:val="both"/>
        <w:rPr>
          <w:rFonts w:asciiTheme="majorHAnsi" w:hAnsiTheme="majorHAnsi" w:cs="Times New Roman"/>
        </w:rPr>
      </w:pPr>
      <w:r w:rsidRPr="001913F1">
        <w:rPr>
          <w:rFonts w:asciiTheme="majorHAnsi" w:hAnsiTheme="majorHAnsi" w:cs="Times New Roman"/>
        </w:rPr>
        <w:t xml:space="preserve">13. Alam M, Tyagi R. 2009. A Study of Out of Pocket Household Expenditure on Drugs and Medical Services: An Exploratory Analysis of UP, Rajasthan and Delhi. Population Research Centre Institute of Economic Growth  </w:t>
      </w:r>
    </w:p>
    <w:p w:rsidR="006A68A4" w:rsidRPr="001913F1" w:rsidRDefault="006A68A4" w:rsidP="006A68A4">
      <w:pPr>
        <w:spacing w:line="264" w:lineRule="auto"/>
        <w:contextualSpacing/>
        <w:jc w:val="both"/>
        <w:rPr>
          <w:rFonts w:asciiTheme="majorHAnsi" w:hAnsiTheme="majorHAnsi" w:cs="Times New Roman"/>
        </w:rPr>
      </w:pPr>
      <w:r w:rsidRPr="001913F1">
        <w:rPr>
          <w:rFonts w:asciiTheme="majorHAnsi" w:hAnsiTheme="majorHAnsi" w:cs="Times New Roman"/>
        </w:rPr>
        <w:t>14. Pal R. 2012. Measuring incidence of catastrophic out-of-pocket health expenditure: with application to India. International Journal of Health Care Finance and Economics, vol 12:63–85.</w:t>
      </w:r>
    </w:p>
    <w:p w:rsidR="006A68A4" w:rsidRPr="001913F1" w:rsidRDefault="006A68A4" w:rsidP="006A68A4">
      <w:pPr>
        <w:spacing w:line="264" w:lineRule="auto"/>
        <w:contextualSpacing/>
        <w:jc w:val="both"/>
        <w:rPr>
          <w:rFonts w:asciiTheme="majorHAnsi" w:hAnsiTheme="majorHAnsi" w:cs="Times New Roman"/>
        </w:rPr>
      </w:pPr>
      <w:r w:rsidRPr="001913F1">
        <w:rPr>
          <w:rFonts w:asciiTheme="majorHAnsi" w:hAnsiTheme="majorHAnsi" w:cs="Times New Roman"/>
        </w:rPr>
        <w:t>15.  Sakthivel S and Karan A. 2012. Why Publicly-Financed Health Insurance Schemes Are Ineffective in Providing Financial Risk Protection. Economic and Political Weekly.volxlviI no 1</w:t>
      </w:r>
    </w:p>
    <w:p w:rsidR="006A68A4" w:rsidRPr="001913F1" w:rsidRDefault="006A68A4" w:rsidP="006A68A4">
      <w:pPr>
        <w:spacing w:line="264" w:lineRule="auto"/>
        <w:contextualSpacing/>
        <w:jc w:val="both"/>
        <w:rPr>
          <w:rFonts w:asciiTheme="majorHAnsi" w:hAnsiTheme="majorHAnsi" w:cs="Times New Roman"/>
        </w:rPr>
      </w:pPr>
      <w:r w:rsidRPr="001913F1">
        <w:rPr>
          <w:rFonts w:asciiTheme="majorHAnsi" w:hAnsiTheme="majorHAnsi" w:cs="Times New Roman"/>
        </w:rPr>
        <w:t>16.  Shahrawat R and Rao K. 2012. Insured yet vulnerable: out-of-pocket payments and India’s poor.Health Policy and Planning; 27:213–221.</w:t>
      </w:r>
    </w:p>
    <w:p w:rsidR="006A68A4" w:rsidRPr="001913F1" w:rsidRDefault="006A68A4" w:rsidP="006A68A4">
      <w:pPr>
        <w:spacing w:line="264" w:lineRule="auto"/>
        <w:contextualSpacing/>
        <w:jc w:val="both"/>
        <w:rPr>
          <w:rFonts w:asciiTheme="majorHAnsi" w:hAnsiTheme="majorHAnsi" w:cs="Times New Roman"/>
        </w:rPr>
      </w:pPr>
      <w:r w:rsidRPr="001913F1">
        <w:rPr>
          <w:rFonts w:asciiTheme="majorHAnsi" w:hAnsiTheme="majorHAnsi" w:cs="Times New Roman"/>
        </w:rPr>
        <w:t xml:space="preserve">17. Berman, P.,Ahuja, R., Bhandari L. 2010. The Impoverishing Effect of Healthcare Payments in India: New Methodology and Findings, </w:t>
      </w:r>
      <w:r w:rsidRPr="001913F1">
        <w:rPr>
          <w:rFonts w:asciiTheme="majorHAnsi" w:hAnsiTheme="majorHAnsi" w:cs="Times New Roman"/>
          <w:i/>
          <w:iCs/>
        </w:rPr>
        <w:t>The Economic and Political Weekly</w:t>
      </w:r>
      <w:r w:rsidRPr="001913F1">
        <w:rPr>
          <w:rFonts w:asciiTheme="majorHAnsi" w:hAnsiTheme="majorHAnsi" w:cs="Times New Roman"/>
        </w:rPr>
        <w:t>, Vol XLV No 16. NewDelhi.</w:t>
      </w:r>
    </w:p>
    <w:p w:rsidR="006A68A4" w:rsidRPr="001913F1" w:rsidRDefault="006A68A4" w:rsidP="006A68A4">
      <w:pPr>
        <w:spacing w:line="264" w:lineRule="auto"/>
        <w:contextualSpacing/>
        <w:jc w:val="both"/>
        <w:rPr>
          <w:rFonts w:asciiTheme="majorHAnsi" w:hAnsiTheme="majorHAnsi"/>
        </w:rPr>
      </w:pPr>
      <w:r w:rsidRPr="001913F1">
        <w:rPr>
          <w:rFonts w:asciiTheme="majorHAnsi" w:hAnsiTheme="majorHAnsi"/>
        </w:rPr>
        <w:t xml:space="preserve">18. Barua N, Pandav C. 2011. The allure of the private practioner: Is this the only alternative for urban poor in India. Indian Journal of Public Health, vol 55, issue 2. </w:t>
      </w:r>
    </w:p>
    <w:p w:rsidR="006A68A4" w:rsidRPr="001913F1" w:rsidRDefault="006A68A4" w:rsidP="006A68A4">
      <w:pPr>
        <w:spacing w:line="264" w:lineRule="auto"/>
        <w:contextualSpacing/>
        <w:jc w:val="both"/>
        <w:rPr>
          <w:rFonts w:asciiTheme="majorHAnsi" w:hAnsiTheme="majorHAnsi"/>
        </w:rPr>
      </w:pPr>
      <w:r w:rsidRPr="001913F1">
        <w:rPr>
          <w:rFonts w:asciiTheme="majorHAnsi" w:hAnsiTheme="majorHAnsi"/>
        </w:rPr>
        <w:t>19. Sheikh K, Saligram P. 2013. Mapping the regulatory architecture for health care delivery in mixed health systems in low- and middle-income countries. Working paper series.Health Finance and Health Policy Knowledge Hub.The Nossal Institute for Global Health.</w:t>
      </w:r>
    </w:p>
    <w:p w:rsidR="006A68A4" w:rsidRPr="001913F1" w:rsidRDefault="006A68A4" w:rsidP="006A68A4">
      <w:pPr>
        <w:spacing w:line="264" w:lineRule="auto"/>
        <w:contextualSpacing/>
        <w:jc w:val="both"/>
        <w:rPr>
          <w:rFonts w:asciiTheme="majorHAnsi" w:hAnsiTheme="majorHAnsi"/>
        </w:rPr>
      </w:pPr>
      <w:r w:rsidRPr="001913F1">
        <w:rPr>
          <w:rFonts w:asciiTheme="majorHAnsi" w:hAnsiTheme="majorHAnsi"/>
        </w:rPr>
        <w:t>20. Draft report on recommendation of task force on public private partnership for the 11</w:t>
      </w:r>
      <w:r w:rsidRPr="001913F1">
        <w:rPr>
          <w:rFonts w:asciiTheme="majorHAnsi" w:hAnsiTheme="majorHAnsi"/>
          <w:vertAlign w:val="superscript"/>
        </w:rPr>
        <w:t>th</w:t>
      </w:r>
      <w:r w:rsidRPr="001913F1">
        <w:rPr>
          <w:rFonts w:asciiTheme="majorHAnsi" w:hAnsiTheme="majorHAnsi"/>
        </w:rPr>
        <w:t xml:space="preserve"> plan. </w:t>
      </w:r>
    </w:p>
    <w:p w:rsidR="006A68A4" w:rsidRPr="001913F1" w:rsidRDefault="006A68A4" w:rsidP="006A68A4">
      <w:pPr>
        <w:spacing w:line="264" w:lineRule="auto"/>
        <w:contextualSpacing/>
        <w:jc w:val="both"/>
        <w:rPr>
          <w:rFonts w:asciiTheme="majorHAnsi" w:hAnsiTheme="majorHAnsi"/>
        </w:rPr>
      </w:pPr>
      <w:r w:rsidRPr="001913F1">
        <w:rPr>
          <w:rFonts w:asciiTheme="majorHAnsi" w:hAnsiTheme="majorHAnsi"/>
        </w:rPr>
        <w:t xml:space="preserve">21. High level expert group report on Universal Health Coverage in India. 2012. Planning Commission of India. </w:t>
      </w:r>
    </w:p>
    <w:p w:rsidR="006A68A4" w:rsidRPr="001913F1" w:rsidRDefault="006A68A4" w:rsidP="006A68A4">
      <w:pPr>
        <w:spacing w:line="264" w:lineRule="auto"/>
        <w:contextualSpacing/>
        <w:jc w:val="both"/>
        <w:rPr>
          <w:rFonts w:asciiTheme="majorHAnsi" w:hAnsiTheme="majorHAnsi" w:cstheme="minorHAnsi"/>
        </w:rPr>
      </w:pPr>
      <w:r w:rsidRPr="001913F1">
        <w:rPr>
          <w:rFonts w:asciiTheme="majorHAnsi" w:hAnsiTheme="majorHAnsi" w:cstheme="minorHAnsi"/>
        </w:rPr>
        <w:t>22. Public Health Foundation of India. 2011. Guidelines for the constructive participation of communities, local elected representatives, NGOs, and the for profit and not-for-profit sectors in the delivery of health care. Recommendations on universal health coverage of the high level expert group appointed by the planning commission, government of India, New Delhi.</w:t>
      </w:r>
    </w:p>
    <w:p w:rsidR="006A68A4" w:rsidRPr="001913F1" w:rsidRDefault="006A68A4" w:rsidP="006A68A4">
      <w:pPr>
        <w:spacing w:line="264" w:lineRule="auto"/>
        <w:contextualSpacing/>
        <w:jc w:val="both"/>
        <w:rPr>
          <w:rFonts w:asciiTheme="majorHAnsi" w:hAnsiTheme="majorHAnsi" w:cstheme="minorHAnsi"/>
          <w:color w:val="000000"/>
        </w:rPr>
      </w:pPr>
      <w:r w:rsidRPr="001913F1">
        <w:rPr>
          <w:rFonts w:asciiTheme="majorHAnsi" w:hAnsiTheme="majorHAnsi" w:cstheme="minorHAnsi"/>
        </w:rPr>
        <w:t xml:space="preserve">23. </w:t>
      </w:r>
      <w:r w:rsidRPr="001913F1">
        <w:rPr>
          <w:rFonts w:asciiTheme="majorHAnsi" w:hAnsiTheme="majorHAnsi" w:cstheme="minorHAnsi"/>
          <w:color w:val="000000"/>
        </w:rPr>
        <w:t>Muraleedharan, V.R. and S. Nandraj. 2003. Private health care sector in India – Policy challenges and options for partnership. In A. Yazbeck&amp; D. H. Peters (Eds.) Health policy research in South Asia: Building capacity for reform., Health, Nutrition, and Population Series (pp. 227-256). World Bank Washington DC.</w:t>
      </w:r>
    </w:p>
    <w:p w:rsidR="006A68A4" w:rsidRPr="001913F1" w:rsidRDefault="006A68A4" w:rsidP="006A68A4">
      <w:pPr>
        <w:spacing w:line="264" w:lineRule="auto"/>
        <w:contextualSpacing/>
        <w:jc w:val="both"/>
        <w:rPr>
          <w:rFonts w:asciiTheme="majorHAnsi" w:hAnsiTheme="majorHAnsi" w:cstheme="minorHAnsi"/>
          <w:color w:val="000000"/>
        </w:rPr>
      </w:pPr>
      <w:r w:rsidRPr="001913F1">
        <w:rPr>
          <w:rFonts w:asciiTheme="majorHAnsi" w:hAnsiTheme="majorHAnsi" w:cstheme="minorHAnsi"/>
          <w:color w:val="000000"/>
        </w:rPr>
        <w:t>24. Barua N, Seeberg J, Pandav C. 2009. Health of Urban Poor and Role of Private Practioners. Centre for Community Medicine, All India Institute of Medical Sciences, New Delhi in collaboration with ICCIDD, New Delhi, India.</w:t>
      </w:r>
    </w:p>
    <w:p w:rsidR="006A68A4" w:rsidRPr="001913F1" w:rsidRDefault="006A68A4" w:rsidP="006A68A4">
      <w:pPr>
        <w:spacing w:line="264" w:lineRule="auto"/>
        <w:contextualSpacing/>
        <w:jc w:val="both"/>
        <w:rPr>
          <w:rFonts w:asciiTheme="majorHAnsi" w:hAnsiTheme="majorHAnsi" w:cstheme="minorHAnsi"/>
          <w:color w:val="000000"/>
        </w:rPr>
      </w:pPr>
      <w:r w:rsidRPr="001913F1">
        <w:rPr>
          <w:rFonts w:asciiTheme="majorHAnsi" w:hAnsiTheme="majorHAnsi" w:cstheme="minorHAnsi"/>
          <w:color w:val="000000"/>
        </w:rPr>
        <w:t>25. Report by the Secretariat. 2010. Strengthening the capacity of governments to constructively engage the private sector in providing essential health-care services. Sixty third world health assembly.WHO.</w:t>
      </w:r>
    </w:p>
    <w:p w:rsidR="006A68A4" w:rsidRPr="001913F1" w:rsidRDefault="006A68A4" w:rsidP="006A68A4">
      <w:pPr>
        <w:spacing w:line="264" w:lineRule="auto"/>
        <w:contextualSpacing/>
        <w:jc w:val="both"/>
        <w:rPr>
          <w:rFonts w:asciiTheme="majorHAnsi" w:hAnsiTheme="majorHAnsi" w:cstheme="minorHAnsi"/>
          <w:iCs/>
          <w:color w:val="000000"/>
        </w:rPr>
      </w:pPr>
      <w:r w:rsidRPr="001913F1">
        <w:rPr>
          <w:rFonts w:asciiTheme="majorHAnsi" w:hAnsiTheme="majorHAnsi" w:cstheme="minorHAnsi"/>
          <w:color w:val="000000"/>
        </w:rPr>
        <w:t xml:space="preserve">26. </w:t>
      </w:r>
      <w:r w:rsidRPr="001913F1">
        <w:rPr>
          <w:rFonts w:asciiTheme="majorHAnsi" w:hAnsiTheme="majorHAnsi" w:cstheme="minorHAnsi"/>
          <w:bCs/>
          <w:color w:val="000000"/>
        </w:rPr>
        <w:t xml:space="preserve">Quality and accreditation in health care services: </w:t>
      </w:r>
      <w:r w:rsidRPr="001913F1">
        <w:rPr>
          <w:rFonts w:asciiTheme="majorHAnsi" w:hAnsiTheme="majorHAnsi" w:cstheme="minorHAnsi"/>
          <w:i/>
          <w:iCs/>
          <w:color w:val="000000"/>
        </w:rPr>
        <w:t xml:space="preserve">A global review. 2003. </w:t>
      </w:r>
      <w:r w:rsidRPr="001913F1">
        <w:rPr>
          <w:rFonts w:asciiTheme="majorHAnsi" w:hAnsiTheme="majorHAnsi" w:cstheme="minorHAnsi"/>
          <w:iCs/>
          <w:color w:val="000000"/>
        </w:rPr>
        <w:t>World Health Organization.</w:t>
      </w:r>
    </w:p>
    <w:p w:rsidR="006A68A4" w:rsidRPr="001913F1" w:rsidRDefault="006A68A4" w:rsidP="006A68A4">
      <w:pPr>
        <w:spacing w:line="264" w:lineRule="auto"/>
        <w:contextualSpacing/>
        <w:jc w:val="both"/>
        <w:rPr>
          <w:rFonts w:asciiTheme="majorHAnsi" w:hAnsiTheme="majorHAnsi" w:cstheme="minorHAnsi"/>
          <w:iCs/>
          <w:color w:val="000000"/>
        </w:rPr>
      </w:pPr>
      <w:r w:rsidRPr="001913F1">
        <w:rPr>
          <w:rFonts w:asciiTheme="majorHAnsi" w:hAnsiTheme="majorHAnsi" w:cstheme="minorHAnsi"/>
          <w:iCs/>
          <w:color w:val="000000"/>
        </w:rPr>
        <w:lastRenderedPageBreak/>
        <w:t>27. Smith E, Brugha R and Zwi A</w:t>
      </w:r>
      <w:r w:rsidRPr="001913F1">
        <w:rPr>
          <w:rFonts w:asciiTheme="majorHAnsi" w:hAnsiTheme="majorHAnsi" w:cstheme="minorHAnsi"/>
          <w:bCs/>
          <w:color w:val="000000"/>
        </w:rPr>
        <w:t xml:space="preserve">. 2001. </w:t>
      </w:r>
      <w:r w:rsidRPr="001913F1">
        <w:rPr>
          <w:rFonts w:asciiTheme="majorHAnsi" w:hAnsiTheme="majorHAnsi" w:cstheme="minorHAnsi"/>
          <w:iCs/>
          <w:color w:val="000000"/>
        </w:rPr>
        <w:t>Working with Private Sector Providers for Better Health Care, An Introductory Guide. Options consultancy services limited and London School of Hygiene and Tropical Medicine.</w:t>
      </w:r>
    </w:p>
    <w:p w:rsidR="006A68A4" w:rsidRPr="001913F1" w:rsidRDefault="006A68A4" w:rsidP="006A68A4">
      <w:pPr>
        <w:spacing w:line="264" w:lineRule="auto"/>
        <w:contextualSpacing/>
        <w:jc w:val="both"/>
        <w:rPr>
          <w:rFonts w:asciiTheme="majorHAnsi" w:hAnsiTheme="majorHAnsi" w:cstheme="minorHAnsi"/>
          <w:iCs/>
          <w:color w:val="000000"/>
        </w:rPr>
      </w:pPr>
      <w:r w:rsidRPr="001913F1">
        <w:rPr>
          <w:rFonts w:asciiTheme="majorHAnsi" w:hAnsiTheme="majorHAnsi" w:cstheme="minorHAnsi"/>
          <w:iCs/>
          <w:color w:val="000000"/>
        </w:rPr>
        <w:t>28. National Sample Survey Organization Morbidity 60</w:t>
      </w:r>
      <w:r w:rsidRPr="001913F1">
        <w:rPr>
          <w:rFonts w:asciiTheme="majorHAnsi" w:hAnsiTheme="majorHAnsi" w:cstheme="minorHAnsi"/>
          <w:iCs/>
          <w:color w:val="000000"/>
          <w:vertAlign w:val="superscript"/>
        </w:rPr>
        <w:t>TH</w:t>
      </w:r>
      <w:r w:rsidRPr="001913F1">
        <w:rPr>
          <w:rFonts w:asciiTheme="majorHAnsi" w:hAnsiTheme="majorHAnsi" w:cstheme="minorHAnsi"/>
          <w:iCs/>
          <w:color w:val="000000"/>
        </w:rPr>
        <w:t xml:space="preserve"> Round (2004). Health care and Condition of the aged. 2006.Ministry of Statistics and Programme Implementation. </w:t>
      </w:r>
    </w:p>
    <w:p w:rsidR="006A68A4" w:rsidRPr="001913F1" w:rsidRDefault="006A68A4" w:rsidP="006A68A4">
      <w:pPr>
        <w:spacing w:line="264" w:lineRule="auto"/>
        <w:contextualSpacing/>
        <w:jc w:val="both"/>
        <w:rPr>
          <w:rFonts w:asciiTheme="majorHAnsi" w:hAnsiTheme="majorHAnsi" w:cstheme="minorHAnsi"/>
          <w:bCs/>
          <w:color w:val="000000"/>
        </w:rPr>
      </w:pPr>
      <w:r w:rsidRPr="001913F1">
        <w:rPr>
          <w:rFonts w:asciiTheme="majorHAnsi" w:hAnsiTheme="majorHAnsi" w:cstheme="minorHAnsi"/>
          <w:iCs/>
          <w:color w:val="000000"/>
        </w:rPr>
        <w:t xml:space="preserve">29. National Health Accounts 2004-05. </w:t>
      </w:r>
    </w:p>
    <w:p w:rsidR="006A68A4" w:rsidRPr="001913F1" w:rsidRDefault="006A68A4" w:rsidP="006A68A4">
      <w:pPr>
        <w:spacing w:line="264" w:lineRule="auto"/>
        <w:contextualSpacing/>
        <w:rPr>
          <w:rFonts w:asciiTheme="majorHAnsi" w:hAnsiTheme="majorHAnsi" w:cs="Times New Roman"/>
        </w:rPr>
      </w:pPr>
    </w:p>
    <w:p w:rsidR="006A68A4" w:rsidRPr="001913F1" w:rsidRDefault="006A68A4" w:rsidP="006A68A4">
      <w:pPr>
        <w:spacing w:line="264" w:lineRule="auto"/>
        <w:contextualSpacing/>
        <w:jc w:val="both"/>
        <w:rPr>
          <w:rFonts w:asciiTheme="majorHAnsi" w:hAnsiTheme="majorHAnsi"/>
        </w:rPr>
      </w:pPr>
    </w:p>
    <w:p w:rsidR="006A68A4" w:rsidRPr="001913F1" w:rsidRDefault="006A68A4" w:rsidP="006A68A4">
      <w:pPr>
        <w:spacing w:line="264" w:lineRule="auto"/>
        <w:contextualSpacing/>
        <w:jc w:val="both"/>
        <w:rPr>
          <w:rFonts w:asciiTheme="majorHAnsi" w:hAnsiTheme="majorHAnsi"/>
          <w:b/>
        </w:rPr>
      </w:pPr>
    </w:p>
    <w:p w:rsidR="006A68A4" w:rsidRPr="001913F1" w:rsidRDefault="006A68A4" w:rsidP="006A68A4">
      <w:pPr>
        <w:spacing w:line="264" w:lineRule="auto"/>
        <w:contextualSpacing/>
        <w:jc w:val="both"/>
        <w:rPr>
          <w:rFonts w:asciiTheme="majorHAnsi" w:hAnsiTheme="majorHAnsi"/>
          <w:b/>
        </w:rPr>
      </w:pPr>
    </w:p>
    <w:p w:rsidR="006A68A4" w:rsidRPr="001913F1" w:rsidRDefault="006A68A4" w:rsidP="006A68A4">
      <w:pPr>
        <w:spacing w:line="264" w:lineRule="auto"/>
        <w:contextualSpacing/>
        <w:jc w:val="both"/>
        <w:rPr>
          <w:rFonts w:asciiTheme="majorHAnsi" w:hAnsiTheme="majorHAnsi"/>
          <w:b/>
        </w:rPr>
      </w:pPr>
    </w:p>
    <w:p w:rsidR="006A68A4" w:rsidRPr="001913F1" w:rsidRDefault="006A68A4" w:rsidP="006A68A4">
      <w:pPr>
        <w:spacing w:line="264" w:lineRule="auto"/>
        <w:contextualSpacing/>
        <w:jc w:val="both"/>
        <w:rPr>
          <w:rFonts w:asciiTheme="majorHAnsi" w:hAnsiTheme="majorHAnsi"/>
          <w:b/>
        </w:rPr>
      </w:pPr>
    </w:p>
    <w:p w:rsidR="006A68A4" w:rsidRPr="001913F1" w:rsidRDefault="006A68A4" w:rsidP="006A68A4">
      <w:pPr>
        <w:spacing w:line="264" w:lineRule="auto"/>
        <w:contextualSpacing/>
        <w:jc w:val="both"/>
        <w:rPr>
          <w:rFonts w:asciiTheme="majorHAnsi" w:hAnsiTheme="majorHAnsi"/>
          <w:b/>
        </w:rPr>
      </w:pPr>
    </w:p>
    <w:p w:rsidR="006A68A4" w:rsidRPr="001913F1" w:rsidRDefault="006A68A4" w:rsidP="006A68A4">
      <w:pPr>
        <w:spacing w:line="264" w:lineRule="auto"/>
        <w:contextualSpacing/>
        <w:jc w:val="both"/>
        <w:rPr>
          <w:rFonts w:asciiTheme="majorHAnsi" w:hAnsiTheme="majorHAnsi"/>
          <w:b/>
        </w:rPr>
      </w:pPr>
    </w:p>
    <w:p w:rsidR="006A68A4" w:rsidRPr="001913F1" w:rsidRDefault="006A68A4" w:rsidP="006A68A4">
      <w:pPr>
        <w:spacing w:line="264" w:lineRule="auto"/>
        <w:contextualSpacing/>
        <w:jc w:val="both"/>
        <w:rPr>
          <w:rFonts w:asciiTheme="majorHAnsi" w:hAnsiTheme="majorHAnsi"/>
          <w:b/>
        </w:rPr>
      </w:pPr>
    </w:p>
    <w:p w:rsidR="007C70F0" w:rsidRPr="001913F1" w:rsidRDefault="007C70F0" w:rsidP="006A68A4">
      <w:pPr>
        <w:spacing w:line="264" w:lineRule="auto"/>
        <w:contextualSpacing/>
        <w:rPr>
          <w:rFonts w:asciiTheme="majorHAnsi" w:hAnsiTheme="majorHAnsi"/>
        </w:rPr>
      </w:pPr>
    </w:p>
    <w:sectPr w:rsidR="007C70F0" w:rsidRPr="001913F1" w:rsidSect="00E01039">
      <w:footerReference w:type="default" r:id="rId17"/>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3854" w:rsidRDefault="00B83854" w:rsidP="006A68A4">
      <w:pPr>
        <w:spacing w:after="0" w:line="240" w:lineRule="auto"/>
      </w:pPr>
      <w:r>
        <w:separator/>
      </w:r>
    </w:p>
  </w:endnote>
  <w:endnote w:type="continuationSeparator" w:id="1">
    <w:p w:rsidR="00B83854" w:rsidRDefault="00B83854" w:rsidP="006A68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Bold">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Roman">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1547303"/>
      <w:docPartObj>
        <w:docPartGallery w:val="Page Numbers (Bottom of Page)"/>
        <w:docPartUnique/>
      </w:docPartObj>
    </w:sdtPr>
    <w:sdtEndPr>
      <w:rPr>
        <w:noProof/>
      </w:rPr>
    </w:sdtEndPr>
    <w:sdtContent>
      <w:p w:rsidR="00244EAF" w:rsidRDefault="00D20074">
        <w:pPr>
          <w:pStyle w:val="Footer"/>
          <w:jc w:val="right"/>
        </w:pPr>
        <w:r>
          <w:fldChar w:fldCharType="begin"/>
        </w:r>
        <w:r w:rsidR="00244EAF">
          <w:instrText xml:space="preserve"> PAGE   \* MERGEFORMAT </w:instrText>
        </w:r>
        <w:r>
          <w:fldChar w:fldCharType="separate"/>
        </w:r>
        <w:r w:rsidR="00D50622">
          <w:rPr>
            <w:noProof/>
          </w:rPr>
          <w:t>17</w:t>
        </w:r>
        <w:r>
          <w:rPr>
            <w:noProof/>
          </w:rPr>
          <w:fldChar w:fldCharType="end"/>
        </w:r>
      </w:p>
    </w:sdtContent>
  </w:sdt>
  <w:p w:rsidR="00244EAF" w:rsidRDefault="00244EA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3854" w:rsidRDefault="00B83854" w:rsidP="006A68A4">
      <w:pPr>
        <w:spacing w:after="0" w:line="240" w:lineRule="auto"/>
      </w:pPr>
      <w:r>
        <w:separator/>
      </w:r>
    </w:p>
  </w:footnote>
  <w:footnote w:type="continuationSeparator" w:id="1">
    <w:p w:rsidR="00B83854" w:rsidRDefault="00B83854" w:rsidP="006A68A4">
      <w:pPr>
        <w:spacing w:after="0" w:line="240" w:lineRule="auto"/>
      </w:pPr>
      <w:r>
        <w:continuationSeparator/>
      </w:r>
    </w:p>
  </w:footnote>
  <w:footnote w:id="2">
    <w:p w:rsidR="00E01039" w:rsidRPr="00D60182" w:rsidRDefault="00E01039" w:rsidP="006A68A4">
      <w:pPr>
        <w:rPr>
          <w:rFonts w:ascii="Times New Roman" w:eastAsia="Times New Roman" w:hAnsi="Times New Roman" w:cs="Times New Roman"/>
          <w:sz w:val="24"/>
          <w:szCs w:val="24"/>
          <w:lang w:eastAsia="en-IN" w:bidi="mr-IN"/>
        </w:rPr>
      </w:pPr>
      <w:r>
        <w:rPr>
          <w:rStyle w:val="FootnoteReference"/>
        </w:rPr>
        <w:footnoteRef/>
      </w:r>
      <w:r w:rsidRPr="00D60182">
        <w:rPr>
          <w:rFonts w:ascii="Times New Roman" w:eastAsia="Times New Roman" w:hAnsi="Times New Roman" w:cs="Times New Roman"/>
          <w:sz w:val="24"/>
          <w:szCs w:val="24"/>
          <w:lang w:eastAsia="en-IN" w:bidi="mr-IN"/>
        </w:rPr>
        <w:t>Puri, M., &amp;Lahariya, C. (2011).Social audit in health sector planning and program implementation in India.</w:t>
      </w:r>
      <w:r w:rsidRPr="00D60182">
        <w:rPr>
          <w:rFonts w:ascii="Times New Roman" w:eastAsia="Times New Roman" w:hAnsi="Times New Roman" w:cs="Times New Roman"/>
          <w:i/>
          <w:iCs/>
          <w:sz w:val="24"/>
          <w:szCs w:val="24"/>
          <w:lang w:eastAsia="en-IN" w:bidi="mr-IN"/>
        </w:rPr>
        <w:t>Indian journal of community medicine: official publication of Indian Association of Preventive &amp; Social Medicine</w:t>
      </w:r>
      <w:r w:rsidRPr="00D60182">
        <w:rPr>
          <w:rFonts w:ascii="Times New Roman" w:eastAsia="Times New Roman" w:hAnsi="Times New Roman" w:cs="Times New Roman"/>
          <w:sz w:val="24"/>
          <w:szCs w:val="24"/>
          <w:lang w:eastAsia="en-IN" w:bidi="mr-IN"/>
        </w:rPr>
        <w:t xml:space="preserve">, </w:t>
      </w:r>
      <w:r w:rsidRPr="00D60182">
        <w:rPr>
          <w:rFonts w:ascii="Times New Roman" w:eastAsia="Times New Roman" w:hAnsi="Times New Roman" w:cs="Times New Roman"/>
          <w:i/>
          <w:iCs/>
          <w:sz w:val="24"/>
          <w:szCs w:val="24"/>
          <w:lang w:eastAsia="en-IN" w:bidi="mr-IN"/>
        </w:rPr>
        <w:t>36</w:t>
      </w:r>
      <w:r w:rsidRPr="00D60182">
        <w:rPr>
          <w:rFonts w:ascii="Times New Roman" w:eastAsia="Times New Roman" w:hAnsi="Times New Roman" w:cs="Times New Roman"/>
          <w:sz w:val="24"/>
          <w:szCs w:val="24"/>
          <w:lang w:eastAsia="en-IN" w:bidi="mr-IN"/>
        </w:rPr>
        <w:t>(3), 174.</w:t>
      </w:r>
    </w:p>
    <w:p w:rsidR="00E01039" w:rsidRDefault="00E01039" w:rsidP="006A68A4">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3086D2C"/>
    <w:multiLevelType w:val="hybridMultilevel"/>
    <w:tmpl w:val="96E425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5C6F56"/>
    <w:multiLevelType w:val="hybridMultilevel"/>
    <w:tmpl w:val="E856EA5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2F04FD"/>
    <w:multiLevelType w:val="hybridMultilevel"/>
    <w:tmpl w:val="DACA3104"/>
    <w:lvl w:ilvl="0" w:tplc="6B7CD812">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210736"/>
    <w:multiLevelType w:val="hybridMultilevel"/>
    <w:tmpl w:val="B714EE3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EA15F8A"/>
    <w:multiLevelType w:val="hybridMultilevel"/>
    <w:tmpl w:val="DD5243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2B692C"/>
    <w:multiLevelType w:val="hybridMultilevel"/>
    <w:tmpl w:val="94ACF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A86075"/>
    <w:multiLevelType w:val="hybridMultilevel"/>
    <w:tmpl w:val="1B2A6256"/>
    <w:lvl w:ilvl="0" w:tplc="4009000F">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8">
    <w:nsid w:val="18662521"/>
    <w:multiLevelType w:val="hybridMultilevel"/>
    <w:tmpl w:val="5BD80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230A36"/>
    <w:multiLevelType w:val="hybridMultilevel"/>
    <w:tmpl w:val="595EFB3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2C03FC"/>
    <w:multiLevelType w:val="hybridMultilevel"/>
    <w:tmpl w:val="FF002F3C"/>
    <w:lvl w:ilvl="0" w:tplc="8C1A2DDC">
      <w:start w:val="1"/>
      <w:numFmt w:val="bullet"/>
      <w:lvlText w:val="•"/>
      <w:lvlJc w:val="left"/>
      <w:pPr>
        <w:tabs>
          <w:tab w:val="num" w:pos="720"/>
        </w:tabs>
        <w:ind w:left="720" w:hanging="360"/>
      </w:pPr>
      <w:rPr>
        <w:rFonts w:ascii="Arial" w:hAnsi="Arial" w:hint="default"/>
      </w:rPr>
    </w:lvl>
    <w:lvl w:ilvl="1" w:tplc="C270C7F0" w:tentative="1">
      <w:start w:val="1"/>
      <w:numFmt w:val="bullet"/>
      <w:lvlText w:val="•"/>
      <w:lvlJc w:val="left"/>
      <w:pPr>
        <w:tabs>
          <w:tab w:val="num" w:pos="1440"/>
        </w:tabs>
        <w:ind w:left="1440" w:hanging="360"/>
      </w:pPr>
      <w:rPr>
        <w:rFonts w:ascii="Arial" w:hAnsi="Arial" w:hint="default"/>
      </w:rPr>
    </w:lvl>
    <w:lvl w:ilvl="2" w:tplc="F5F09610" w:tentative="1">
      <w:start w:val="1"/>
      <w:numFmt w:val="bullet"/>
      <w:lvlText w:val="•"/>
      <w:lvlJc w:val="left"/>
      <w:pPr>
        <w:tabs>
          <w:tab w:val="num" w:pos="2160"/>
        </w:tabs>
        <w:ind w:left="2160" w:hanging="360"/>
      </w:pPr>
      <w:rPr>
        <w:rFonts w:ascii="Arial" w:hAnsi="Arial" w:hint="default"/>
      </w:rPr>
    </w:lvl>
    <w:lvl w:ilvl="3" w:tplc="5ACA845E" w:tentative="1">
      <w:start w:val="1"/>
      <w:numFmt w:val="bullet"/>
      <w:lvlText w:val="•"/>
      <w:lvlJc w:val="left"/>
      <w:pPr>
        <w:tabs>
          <w:tab w:val="num" w:pos="2880"/>
        </w:tabs>
        <w:ind w:left="2880" w:hanging="360"/>
      </w:pPr>
      <w:rPr>
        <w:rFonts w:ascii="Arial" w:hAnsi="Arial" w:hint="default"/>
      </w:rPr>
    </w:lvl>
    <w:lvl w:ilvl="4" w:tplc="B2CCDB16" w:tentative="1">
      <w:start w:val="1"/>
      <w:numFmt w:val="bullet"/>
      <w:lvlText w:val="•"/>
      <w:lvlJc w:val="left"/>
      <w:pPr>
        <w:tabs>
          <w:tab w:val="num" w:pos="3600"/>
        </w:tabs>
        <w:ind w:left="3600" w:hanging="360"/>
      </w:pPr>
      <w:rPr>
        <w:rFonts w:ascii="Arial" w:hAnsi="Arial" w:hint="default"/>
      </w:rPr>
    </w:lvl>
    <w:lvl w:ilvl="5" w:tplc="5AC24CA2" w:tentative="1">
      <w:start w:val="1"/>
      <w:numFmt w:val="bullet"/>
      <w:lvlText w:val="•"/>
      <w:lvlJc w:val="left"/>
      <w:pPr>
        <w:tabs>
          <w:tab w:val="num" w:pos="4320"/>
        </w:tabs>
        <w:ind w:left="4320" w:hanging="360"/>
      </w:pPr>
      <w:rPr>
        <w:rFonts w:ascii="Arial" w:hAnsi="Arial" w:hint="default"/>
      </w:rPr>
    </w:lvl>
    <w:lvl w:ilvl="6" w:tplc="34609924" w:tentative="1">
      <w:start w:val="1"/>
      <w:numFmt w:val="bullet"/>
      <w:lvlText w:val="•"/>
      <w:lvlJc w:val="left"/>
      <w:pPr>
        <w:tabs>
          <w:tab w:val="num" w:pos="5040"/>
        </w:tabs>
        <w:ind w:left="5040" w:hanging="360"/>
      </w:pPr>
      <w:rPr>
        <w:rFonts w:ascii="Arial" w:hAnsi="Arial" w:hint="default"/>
      </w:rPr>
    </w:lvl>
    <w:lvl w:ilvl="7" w:tplc="7234C452" w:tentative="1">
      <w:start w:val="1"/>
      <w:numFmt w:val="bullet"/>
      <w:lvlText w:val="•"/>
      <w:lvlJc w:val="left"/>
      <w:pPr>
        <w:tabs>
          <w:tab w:val="num" w:pos="5760"/>
        </w:tabs>
        <w:ind w:left="5760" w:hanging="360"/>
      </w:pPr>
      <w:rPr>
        <w:rFonts w:ascii="Arial" w:hAnsi="Arial" w:hint="default"/>
      </w:rPr>
    </w:lvl>
    <w:lvl w:ilvl="8" w:tplc="07A823AE" w:tentative="1">
      <w:start w:val="1"/>
      <w:numFmt w:val="bullet"/>
      <w:lvlText w:val="•"/>
      <w:lvlJc w:val="left"/>
      <w:pPr>
        <w:tabs>
          <w:tab w:val="num" w:pos="6480"/>
        </w:tabs>
        <w:ind w:left="6480" w:hanging="360"/>
      </w:pPr>
      <w:rPr>
        <w:rFonts w:ascii="Arial" w:hAnsi="Arial" w:hint="default"/>
      </w:rPr>
    </w:lvl>
  </w:abstractNum>
  <w:abstractNum w:abstractNumId="11">
    <w:nsid w:val="27BB6FA8"/>
    <w:multiLevelType w:val="hybridMultilevel"/>
    <w:tmpl w:val="8ACE73E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834ECB4E">
      <w:start w:val="1"/>
      <w:numFmt w:val="lowerLetter"/>
      <w:lvlText w:val="%3&gt;"/>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E10A95"/>
    <w:multiLevelType w:val="hybridMultilevel"/>
    <w:tmpl w:val="A81238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0F56898"/>
    <w:multiLevelType w:val="hybridMultilevel"/>
    <w:tmpl w:val="51AC98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481DD7"/>
    <w:multiLevelType w:val="hybridMultilevel"/>
    <w:tmpl w:val="4EA20E02"/>
    <w:lvl w:ilvl="0" w:tplc="74241372">
      <w:start w:val="1"/>
      <w:numFmt w:val="decimal"/>
      <w:lvlText w:val="%1."/>
      <w:lvlJc w:val="left"/>
      <w:pPr>
        <w:ind w:left="720" w:hanging="360"/>
      </w:pPr>
      <w:rPr>
        <w:rFonts w:ascii="Times New Roman" w:hAnsi="Times New Roman"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AD43F0"/>
    <w:multiLevelType w:val="hybridMultilevel"/>
    <w:tmpl w:val="42FA0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8A7085"/>
    <w:multiLevelType w:val="hybridMultilevel"/>
    <w:tmpl w:val="263645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EB64A5"/>
    <w:multiLevelType w:val="hybridMultilevel"/>
    <w:tmpl w:val="54DE5F34"/>
    <w:lvl w:ilvl="0" w:tplc="B58AFA3C">
      <w:start w:val="1"/>
      <w:numFmt w:val="decimal"/>
      <w:lvlText w:val="%1."/>
      <w:lvlJc w:val="left"/>
      <w:pPr>
        <w:ind w:left="720" w:hanging="360"/>
      </w:pPr>
      <w:rPr>
        <w:rFonts w:ascii="Helvetica-Bold" w:hAnsi="Helvetica-Bold" w:cs="Helvetica-Bold" w:hint="default"/>
        <w:sz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AD701B4"/>
    <w:multiLevelType w:val="hybridMultilevel"/>
    <w:tmpl w:val="063C7E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429F052B"/>
    <w:multiLevelType w:val="hybridMultilevel"/>
    <w:tmpl w:val="CDD6FFE2"/>
    <w:lvl w:ilvl="0" w:tplc="2B56D0D2">
      <w:start w:val="1"/>
      <w:numFmt w:val="bullet"/>
      <w:lvlText w:val="•"/>
      <w:lvlJc w:val="left"/>
      <w:pPr>
        <w:tabs>
          <w:tab w:val="num" w:pos="720"/>
        </w:tabs>
        <w:ind w:left="720" w:hanging="360"/>
      </w:pPr>
      <w:rPr>
        <w:rFonts w:ascii="Arial" w:hAnsi="Arial" w:hint="default"/>
      </w:rPr>
    </w:lvl>
    <w:lvl w:ilvl="1" w:tplc="BC5CAA52" w:tentative="1">
      <w:start w:val="1"/>
      <w:numFmt w:val="bullet"/>
      <w:lvlText w:val="•"/>
      <w:lvlJc w:val="left"/>
      <w:pPr>
        <w:tabs>
          <w:tab w:val="num" w:pos="1440"/>
        </w:tabs>
        <w:ind w:left="1440" w:hanging="360"/>
      </w:pPr>
      <w:rPr>
        <w:rFonts w:ascii="Arial" w:hAnsi="Arial" w:hint="default"/>
      </w:rPr>
    </w:lvl>
    <w:lvl w:ilvl="2" w:tplc="9AA2C65A" w:tentative="1">
      <w:start w:val="1"/>
      <w:numFmt w:val="bullet"/>
      <w:lvlText w:val="•"/>
      <w:lvlJc w:val="left"/>
      <w:pPr>
        <w:tabs>
          <w:tab w:val="num" w:pos="2160"/>
        </w:tabs>
        <w:ind w:left="2160" w:hanging="360"/>
      </w:pPr>
      <w:rPr>
        <w:rFonts w:ascii="Arial" w:hAnsi="Arial" w:hint="default"/>
      </w:rPr>
    </w:lvl>
    <w:lvl w:ilvl="3" w:tplc="0F56D2A8" w:tentative="1">
      <w:start w:val="1"/>
      <w:numFmt w:val="bullet"/>
      <w:lvlText w:val="•"/>
      <w:lvlJc w:val="left"/>
      <w:pPr>
        <w:tabs>
          <w:tab w:val="num" w:pos="2880"/>
        </w:tabs>
        <w:ind w:left="2880" w:hanging="360"/>
      </w:pPr>
      <w:rPr>
        <w:rFonts w:ascii="Arial" w:hAnsi="Arial" w:hint="default"/>
      </w:rPr>
    </w:lvl>
    <w:lvl w:ilvl="4" w:tplc="FD8EBAC0" w:tentative="1">
      <w:start w:val="1"/>
      <w:numFmt w:val="bullet"/>
      <w:lvlText w:val="•"/>
      <w:lvlJc w:val="left"/>
      <w:pPr>
        <w:tabs>
          <w:tab w:val="num" w:pos="3600"/>
        </w:tabs>
        <w:ind w:left="3600" w:hanging="360"/>
      </w:pPr>
      <w:rPr>
        <w:rFonts w:ascii="Arial" w:hAnsi="Arial" w:hint="default"/>
      </w:rPr>
    </w:lvl>
    <w:lvl w:ilvl="5" w:tplc="E9FADE64" w:tentative="1">
      <w:start w:val="1"/>
      <w:numFmt w:val="bullet"/>
      <w:lvlText w:val="•"/>
      <w:lvlJc w:val="left"/>
      <w:pPr>
        <w:tabs>
          <w:tab w:val="num" w:pos="4320"/>
        </w:tabs>
        <w:ind w:left="4320" w:hanging="360"/>
      </w:pPr>
      <w:rPr>
        <w:rFonts w:ascii="Arial" w:hAnsi="Arial" w:hint="default"/>
      </w:rPr>
    </w:lvl>
    <w:lvl w:ilvl="6" w:tplc="2662E0E2" w:tentative="1">
      <w:start w:val="1"/>
      <w:numFmt w:val="bullet"/>
      <w:lvlText w:val="•"/>
      <w:lvlJc w:val="left"/>
      <w:pPr>
        <w:tabs>
          <w:tab w:val="num" w:pos="5040"/>
        </w:tabs>
        <w:ind w:left="5040" w:hanging="360"/>
      </w:pPr>
      <w:rPr>
        <w:rFonts w:ascii="Arial" w:hAnsi="Arial" w:hint="default"/>
      </w:rPr>
    </w:lvl>
    <w:lvl w:ilvl="7" w:tplc="F020C308" w:tentative="1">
      <w:start w:val="1"/>
      <w:numFmt w:val="bullet"/>
      <w:lvlText w:val="•"/>
      <w:lvlJc w:val="left"/>
      <w:pPr>
        <w:tabs>
          <w:tab w:val="num" w:pos="5760"/>
        </w:tabs>
        <w:ind w:left="5760" w:hanging="360"/>
      </w:pPr>
      <w:rPr>
        <w:rFonts w:ascii="Arial" w:hAnsi="Arial" w:hint="default"/>
      </w:rPr>
    </w:lvl>
    <w:lvl w:ilvl="8" w:tplc="C4E03BB6" w:tentative="1">
      <w:start w:val="1"/>
      <w:numFmt w:val="bullet"/>
      <w:lvlText w:val="•"/>
      <w:lvlJc w:val="left"/>
      <w:pPr>
        <w:tabs>
          <w:tab w:val="num" w:pos="6480"/>
        </w:tabs>
        <w:ind w:left="6480" w:hanging="360"/>
      </w:pPr>
      <w:rPr>
        <w:rFonts w:ascii="Arial" w:hAnsi="Arial" w:hint="default"/>
      </w:rPr>
    </w:lvl>
  </w:abstractNum>
  <w:abstractNum w:abstractNumId="20">
    <w:nsid w:val="449D0599"/>
    <w:multiLevelType w:val="hybridMultilevel"/>
    <w:tmpl w:val="8C74A0A2"/>
    <w:lvl w:ilvl="0" w:tplc="04090017">
      <w:start w:val="1"/>
      <w:numFmt w:val="lowerLetter"/>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AB7550"/>
    <w:multiLevelType w:val="hybridMultilevel"/>
    <w:tmpl w:val="80B4E7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B3D271A"/>
    <w:multiLevelType w:val="hybridMultilevel"/>
    <w:tmpl w:val="6B3C3D2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5F62E9"/>
    <w:multiLevelType w:val="hybridMultilevel"/>
    <w:tmpl w:val="A2563638"/>
    <w:lvl w:ilvl="0" w:tplc="855EF296">
      <w:start w:val="1"/>
      <w:numFmt w:val="bullet"/>
      <w:lvlText w:val="•"/>
      <w:lvlJc w:val="left"/>
      <w:pPr>
        <w:tabs>
          <w:tab w:val="num" w:pos="720"/>
        </w:tabs>
        <w:ind w:left="720" w:hanging="360"/>
      </w:pPr>
      <w:rPr>
        <w:rFonts w:ascii="Arial" w:hAnsi="Arial" w:hint="default"/>
      </w:rPr>
    </w:lvl>
    <w:lvl w:ilvl="1" w:tplc="2DC08ED2" w:tentative="1">
      <w:start w:val="1"/>
      <w:numFmt w:val="bullet"/>
      <w:lvlText w:val="•"/>
      <w:lvlJc w:val="left"/>
      <w:pPr>
        <w:tabs>
          <w:tab w:val="num" w:pos="1440"/>
        </w:tabs>
        <w:ind w:left="1440" w:hanging="360"/>
      </w:pPr>
      <w:rPr>
        <w:rFonts w:ascii="Arial" w:hAnsi="Arial" w:hint="default"/>
      </w:rPr>
    </w:lvl>
    <w:lvl w:ilvl="2" w:tplc="7164764C" w:tentative="1">
      <w:start w:val="1"/>
      <w:numFmt w:val="bullet"/>
      <w:lvlText w:val="•"/>
      <w:lvlJc w:val="left"/>
      <w:pPr>
        <w:tabs>
          <w:tab w:val="num" w:pos="2160"/>
        </w:tabs>
        <w:ind w:left="2160" w:hanging="360"/>
      </w:pPr>
      <w:rPr>
        <w:rFonts w:ascii="Arial" w:hAnsi="Arial" w:hint="default"/>
      </w:rPr>
    </w:lvl>
    <w:lvl w:ilvl="3" w:tplc="D92C1690" w:tentative="1">
      <w:start w:val="1"/>
      <w:numFmt w:val="bullet"/>
      <w:lvlText w:val="•"/>
      <w:lvlJc w:val="left"/>
      <w:pPr>
        <w:tabs>
          <w:tab w:val="num" w:pos="2880"/>
        </w:tabs>
        <w:ind w:left="2880" w:hanging="360"/>
      </w:pPr>
      <w:rPr>
        <w:rFonts w:ascii="Arial" w:hAnsi="Arial" w:hint="default"/>
      </w:rPr>
    </w:lvl>
    <w:lvl w:ilvl="4" w:tplc="F6548256" w:tentative="1">
      <w:start w:val="1"/>
      <w:numFmt w:val="bullet"/>
      <w:lvlText w:val="•"/>
      <w:lvlJc w:val="left"/>
      <w:pPr>
        <w:tabs>
          <w:tab w:val="num" w:pos="3600"/>
        </w:tabs>
        <w:ind w:left="3600" w:hanging="360"/>
      </w:pPr>
      <w:rPr>
        <w:rFonts w:ascii="Arial" w:hAnsi="Arial" w:hint="default"/>
      </w:rPr>
    </w:lvl>
    <w:lvl w:ilvl="5" w:tplc="9D60F62C" w:tentative="1">
      <w:start w:val="1"/>
      <w:numFmt w:val="bullet"/>
      <w:lvlText w:val="•"/>
      <w:lvlJc w:val="left"/>
      <w:pPr>
        <w:tabs>
          <w:tab w:val="num" w:pos="4320"/>
        </w:tabs>
        <w:ind w:left="4320" w:hanging="360"/>
      </w:pPr>
      <w:rPr>
        <w:rFonts w:ascii="Arial" w:hAnsi="Arial" w:hint="default"/>
      </w:rPr>
    </w:lvl>
    <w:lvl w:ilvl="6" w:tplc="AD84127C" w:tentative="1">
      <w:start w:val="1"/>
      <w:numFmt w:val="bullet"/>
      <w:lvlText w:val="•"/>
      <w:lvlJc w:val="left"/>
      <w:pPr>
        <w:tabs>
          <w:tab w:val="num" w:pos="5040"/>
        </w:tabs>
        <w:ind w:left="5040" w:hanging="360"/>
      </w:pPr>
      <w:rPr>
        <w:rFonts w:ascii="Arial" w:hAnsi="Arial" w:hint="default"/>
      </w:rPr>
    </w:lvl>
    <w:lvl w:ilvl="7" w:tplc="9EEE97A0" w:tentative="1">
      <w:start w:val="1"/>
      <w:numFmt w:val="bullet"/>
      <w:lvlText w:val="•"/>
      <w:lvlJc w:val="left"/>
      <w:pPr>
        <w:tabs>
          <w:tab w:val="num" w:pos="5760"/>
        </w:tabs>
        <w:ind w:left="5760" w:hanging="360"/>
      </w:pPr>
      <w:rPr>
        <w:rFonts w:ascii="Arial" w:hAnsi="Arial" w:hint="default"/>
      </w:rPr>
    </w:lvl>
    <w:lvl w:ilvl="8" w:tplc="4D8C5F2A" w:tentative="1">
      <w:start w:val="1"/>
      <w:numFmt w:val="bullet"/>
      <w:lvlText w:val="•"/>
      <w:lvlJc w:val="left"/>
      <w:pPr>
        <w:tabs>
          <w:tab w:val="num" w:pos="6480"/>
        </w:tabs>
        <w:ind w:left="6480" w:hanging="360"/>
      </w:pPr>
      <w:rPr>
        <w:rFonts w:ascii="Arial" w:hAnsi="Arial" w:hint="default"/>
      </w:rPr>
    </w:lvl>
  </w:abstractNum>
  <w:abstractNum w:abstractNumId="24">
    <w:nsid w:val="55EF0B23"/>
    <w:multiLevelType w:val="hybridMultilevel"/>
    <w:tmpl w:val="75F601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5154B0"/>
    <w:multiLevelType w:val="hybridMultilevel"/>
    <w:tmpl w:val="DB944696"/>
    <w:lvl w:ilvl="0" w:tplc="FAC85E74">
      <w:start w:val="1"/>
      <w:numFmt w:val="lowerLetter"/>
      <w:lvlText w:val="%1)"/>
      <w:lvlJc w:val="left"/>
      <w:pPr>
        <w:ind w:left="960" w:hanging="6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94C4C52"/>
    <w:multiLevelType w:val="hybridMultilevel"/>
    <w:tmpl w:val="8DDA84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9FF6F08"/>
    <w:multiLevelType w:val="hybridMultilevel"/>
    <w:tmpl w:val="75F601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C5C2D2B"/>
    <w:multiLevelType w:val="hybridMultilevel"/>
    <w:tmpl w:val="87D0E1D8"/>
    <w:lvl w:ilvl="0" w:tplc="04090001">
      <w:start w:val="1"/>
      <w:numFmt w:val="bullet"/>
      <w:lvlText w:val=""/>
      <w:lvlJc w:val="left"/>
      <w:pPr>
        <w:ind w:left="720" w:hanging="360"/>
      </w:pPr>
      <w:rPr>
        <w:rFonts w:ascii="Symbol" w:hAnsi="Symbol" w:hint="default"/>
      </w:rPr>
    </w:lvl>
    <w:lvl w:ilvl="1" w:tplc="DD441A8E">
      <w:numFmt w:val="bullet"/>
      <w:lvlText w:val="•"/>
      <w:lvlJc w:val="left"/>
      <w:pPr>
        <w:ind w:left="1440" w:hanging="360"/>
      </w:pPr>
      <w:rPr>
        <w:rFonts w:ascii="SymbolMT" w:eastAsiaTheme="minorHAnsi" w:hAnsi="SymbolMT" w:cs="Symbol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6"/>
  </w:num>
  <w:num w:numId="3">
    <w:abstractNumId w:val="17"/>
  </w:num>
  <w:num w:numId="4">
    <w:abstractNumId w:val="12"/>
  </w:num>
  <w:num w:numId="5">
    <w:abstractNumId w:val="21"/>
  </w:num>
  <w:num w:numId="6">
    <w:abstractNumId w:val="19"/>
  </w:num>
  <w:num w:numId="7">
    <w:abstractNumId w:val="23"/>
  </w:num>
  <w:num w:numId="8">
    <w:abstractNumId w:val="10"/>
  </w:num>
  <w:num w:numId="9">
    <w:abstractNumId w:val="22"/>
  </w:num>
  <w:num w:numId="10">
    <w:abstractNumId w:val="7"/>
  </w:num>
  <w:num w:numId="11">
    <w:abstractNumId w:val="18"/>
  </w:num>
  <w:num w:numId="12">
    <w:abstractNumId w:val="4"/>
  </w:num>
  <w:num w:numId="13">
    <w:abstractNumId w:val="15"/>
  </w:num>
  <w:num w:numId="14">
    <w:abstractNumId w:val="6"/>
  </w:num>
  <w:num w:numId="15">
    <w:abstractNumId w:val="28"/>
  </w:num>
  <w:num w:numId="16">
    <w:abstractNumId w:val="0"/>
  </w:num>
  <w:num w:numId="17">
    <w:abstractNumId w:val="20"/>
  </w:num>
  <w:num w:numId="18">
    <w:abstractNumId w:val="14"/>
  </w:num>
  <w:num w:numId="19">
    <w:abstractNumId w:val="13"/>
  </w:num>
  <w:num w:numId="20">
    <w:abstractNumId w:val="16"/>
  </w:num>
  <w:num w:numId="21">
    <w:abstractNumId w:val="11"/>
  </w:num>
  <w:num w:numId="22">
    <w:abstractNumId w:val="8"/>
  </w:num>
  <w:num w:numId="23">
    <w:abstractNumId w:val="24"/>
  </w:num>
  <w:num w:numId="24">
    <w:abstractNumId w:val="2"/>
  </w:num>
  <w:num w:numId="25">
    <w:abstractNumId w:val="27"/>
  </w:num>
  <w:num w:numId="26">
    <w:abstractNumId w:val="25"/>
  </w:num>
  <w:num w:numId="27">
    <w:abstractNumId w:val="3"/>
  </w:num>
  <w:num w:numId="28">
    <w:abstractNumId w:val="5"/>
  </w:num>
  <w:num w:numId="2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footnotePr>
    <w:footnote w:id="0"/>
    <w:footnote w:id="1"/>
  </w:footnotePr>
  <w:endnotePr>
    <w:endnote w:id="0"/>
    <w:endnote w:id="1"/>
  </w:endnotePr>
  <w:compat/>
  <w:rsids>
    <w:rsidRoot w:val="006A68A4"/>
    <w:rsid w:val="00055940"/>
    <w:rsid w:val="000C4AB7"/>
    <w:rsid w:val="000E6AE4"/>
    <w:rsid w:val="001765C7"/>
    <w:rsid w:val="001913F1"/>
    <w:rsid w:val="00244EAF"/>
    <w:rsid w:val="00250D7B"/>
    <w:rsid w:val="002C3742"/>
    <w:rsid w:val="0036143A"/>
    <w:rsid w:val="00370C4D"/>
    <w:rsid w:val="003A5924"/>
    <w:rsid w:val="003C69FF"/>
    <w:rsid w:val="0043366E"/>
    <w:rsid w:val="004936C5"/>
    <w:rsid w:val="004F3A8C"/>
    <w:rsid w:val="00502B27"/>
    <w:rsid w:val="005236AD"/>
    <w:rsid w:val="00532A58"/>
    <w:rsid w:val="00564F07"/>
    <w:rsid w:val="00587D0A"/>
    <w:rsid w:val="00591563"/>
    <w:rsid w:val="005A2B55"/>
    <w:rsid w:val="005B2AC6"/>
    <w:rsid w:val="00654331"/>
    <w:rsid w:val="00664C05"/>
    <w:rsid w:val="006A00E5"/>
    <w:rsid w:val="006A68A4"/>
    <w:rsid w:val="0076468F"/>
    <w:rsid w:val="00772725"/>
    <w:rsid w:val="007C70F0"/>
    <w:rsid w:val="008A14CD"/>
    <w:rsid w:val="008B47C1"/>
    <w:rsid w:val="00926E71"/>
    <w:rsid w:val="00957771"/>
    <w:rsid w:val="00A368D4"/>
    <w:rsid w:val="00AF4791"/>
    <w:rsid w:val="00B56346"/>
    <w:rsid w:val="00B60A4B"/>
    <w:rsid w:val="00B83854"/>
    <w:rsid w:val="00B866A8"/>
    <w:rsid w:val="00CB1911"/>
    <w:rsid w:val="00CB7C29"/>
    <w:rsid w:val="00CC5663"/>
    <w:rsid w:val="00CE4575"/>
    <w:rsid w:val="00D024C7"/>
    <w:rsid w:val="00D20074"/>
    <w:rsid w:val="00D41E2A"/>
    <w:rsid w:val="00D50622"/>
    <w:rsid w:val="00DB2913"/>
    <w:rsid w:val="00E01039"/>
    <w:rsid w:val="00E06E7E"/>
    <w:rsid w:val="00E242EB"/>
    <w:rsid w:val="00EC07E1"/>
    <w:rsid w:val="00EE1B28"/>
    <w:rsid w:val="00EF7312"/>
    <w:rsid w:val="00FA148D"/>
    <w:rsid w:val="00FE4C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12"/>
        <o:r id="V:Rule2" type="connector" idref="#Straight Arrow Connector 13"/>
        <o:r id="V:Rule3" type="connector" idref="#Straight Arrow Connector 14"/>
        <o:r id="V:Rule4" type="connector" idref="#Straight Arrow Connector 11"/>
        <o:r id="V:Rule5" type="connector" idref="#Straight Arrow Connector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68A4"/>
  </w:style>
  <w:style w:type="paragraph" w:styleId="Heading1">
    <w:name w:val="heading 1"/>
    <w:basedOn w:val="Normal"/>
    <w:next w:val="Normal"/>
    <w:link w:val="Heading1Char"/>
    <w:uiPriority w:val="9"/>
    <w:qFormat/>
    <w:rsid w:val="006A68A4"/>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6A68A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68A4"/>
    <w:rPr>
      <w:rFonts w:asciiTheme="majorHAnsi" w:eastAsiaTheme="majorEastAsia" w:hAnsiTheme="majorHAnsi" w:cstheme="majorBidi"/>
      <w:b/>
      <w:bCs/>
      <w:color w:val="365F91" w:themeColor="accent1" w:themeShade="BF"/>
      <w:sz w:val="28"/>
      <w:szCs w:val="28"/>
      <w:lang w:bidi="en-US"/>
    </w:rPr>
  </w:style>
  <w:style w:type="character" w:customStyle="1" w:styleId="Heading2Char">
    <w:name w:val="Heading 2 Char"/>
    <w:basedOn w:val="DefaultParagraphFont"/>
    <w:link w:val="Heading2"/>
    <w:uiPriority w:val="9"/>
    <w:semiHidden/>
    <w:rsid w:val="006A68A4"/>
    <w:rPr>
      <w:rFonts w:asciiTheme="majorHAnsi" w:eastAsiaTheme="majorEastAsia" w:hAnsiTheme="majorHAnsi" w:cstheme="majorBidi"/>
      <w:b/>
      <w:bCs/>
      <w:color w:val="4F81BD" w:themeColor="accent1"/>
      <w:sz w:val="26"/>
      <w:szCs w:val="26"/>
    </w:rPr>
  </w:style>
  <w:style w:type="paragraph" w:styleId="NoSpacing">
    <w:name w:val="No Spacing"/>
    <w:link w:val="NoSpacingChar"/>
    <w:uiPriority w:val="1"/>
    <w:qFormat/>
    <w:rsid w:val="006A68A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6A68A4"/>
    <w:rPr>
      <w:rFonts w:eastAsiaTheme="minorEastAsia"/>
      <w:lang w:eastAsia="ja-JP"/>
    </w:rPr>
  </w:style>
  <w:style w:type="paragraph" w:styleId="BalloonText">
    <w:name w:val="Balloon Text"/>
    <w:basedOn w:val="Normal"/>
    <w:link w:val="BalloonTextChar"/>
    <w:uiPriority w:val="99"/>
    <w:semiHidden/>
    <w:unhideWhenUsed/>
    <w:rsid w:val="006A68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68A4"/>
    <w:rPr>
      <w:rFonts w:ascii="Tahoma" w:hAnsi="Tahoma" w:cs="Tahoma"/>
      <w:sz w:val="16"/>
      <w:szCs w:val="16"/>
    </w:rPr>
  </w:style>
  <w:style w:type="paragraph" w:styleId="ListParagraph">
    <w:name w:val="List Paragraph"/>
    <w:basedOn w:val="Normal"/>
    <w:uiPriority w:val="34"/>
    <w:qFormat/>
    <w:rsid w:val="006A68A4"/>
    <w:pPr>
      <w:ind w:left="720"/>
      <w:contextualSpacing/>
    </w:pPr>
    <w:rPr>
      <w:szCs w:val="28"/>
      <w:lang w:val="en-GB" w:bidi="bn-IN"/>
    </w:rPr>
  </w:style>
  <w:style w:type="paragraph" w:styleId="Bibliography">
    <w:name w:val="Bibliography"/>
    <w:basedOn w:val="Normal"/>
    <w:next w:val="Normal"/>
    <w:uiPriority w:val="37"/>
    <w:unhideWhenUsed/>
    <w:rsid w:val="006A68A4"/>
    <w:rPr>
      <w:lang w:val="en-IN"/>
    </w:rPr>
  </w:style>
  <w:style w:type="paragraph" w:styleId="BodyText">
    <w:name w:val="Body Text"/>
    <w:basedOn w:val="Normal"/>
    <w:link w:val="BodyTextChar"/>
    <w:uiPriority w:val="99"/>
    <w:unhideWhenUsed/>
    <w:rsid w:val="006A68A4"/>
    <w:pPr>
      <w:jc w:val="both"/>
    </w:pPr>
    <w:rPr>
      <w:lang w:val="en-IN"/>
    </w:rPr>
  </w:style>
  <w:style w:type="character" w:customStyle="1" w:styleId="BodyTextChar">
    <w:name w:val="Body Text Char"/>
    <w:basedOn w:val="DefaultParagraphFont"/>
    <w:link w:val="BodyText"/>
    <w:uiPriority w:val="99"/>
    <w:rsid w:val="006A68A4"/>
    <w:rPr>
      <w:lang w:val="en-IN"/>
    </w:rPr>
  </w:style>
  <w:style w:type="paragraph" w:styleId="NormalWeb">
    <w:name w:val="Normal (Web)"/>
    <w:basedOn w:val="Normal"/>
    <w:uiPriority w:val="99"/>
    <w:semiHidden/>
    <w:unhideWhenUsed/>
    <w:rsid w:val="006A68A4"/>
    <w:pPr>
      <w:spacing w:before="100" w:beforeAutospacing="1" w:after="100" w:afterAutospacing="1" w:line="240" w:lineRule="auto"/>
    </w:pPr>
    <w:rPr>
      <w:rFonts w:ascii="Times New Roman" w:eastAsia="Times New Roman" w:hAnsi="Times New Roman" w:cs="Times New Roman"/>
      <w:sz w:val="24"/>
      <w:szCs w:val="24"/>
      <w:lang w:val="en-IN" w:eastAsia="en-IN" w:bidi="mr-IN"/>
    </w:rPr>
  </w:style>
  <w:style w:type="character" w:customStyle="1" w:styleId="EndnoteTextChar">
    <w:name w:val="Endnote Text Char"/>
    <w:basedOn w:val="DefaultParagraphFont"/>
    <w:link w:val="EndnoteText"/>
    <w:uiPriority w:val="99"/>
    <w:semiHidden/>
    <w:rsid w:val="006A68A4"/>
    <w:rPr>
      <w:sz w:val="20"/>
      <w:szCs w:val="20"/>
      <w:lang w:val="en-IN"/>
    </w:rPr>
  </w:style>
  <w:style w:type="paragraph" w:styleId="EndnoteText">
    <w:name w:val="endnote text"/>
    <w:basedOn w:val="Normal"/>
    <w:link w:val="EndnoteTextChar"/>
    <w:uiPriority w:val="99"/>
    <w:semiHidden/>
    <w:unhideWhenUsed/>
    <w:rsid w:val="006A68A4"/>
    <w:pPr>
      <w:spacing w:after="0" w:line="240" w:lineRule="auto"/>
    </w:pPr>
    <w:rPr>
      <w:sz w:val="20"/>
      <w:szCs w:val="20"/>
      <w:lang w:val="en-IN"/>
    </w:rPr>
  </w:style>
  <w:style w:type="paragraph" w:styleId="BodyTextIndent">
    <w:name w:val="Body Text Indent"/>
    <w:basedOn w:val="Normal"/>
    <w:link w:val="BodyTextIndentChar"/>
    <w:uiPriority w:val="99"/>
    <w:unhideWhenUsed/>
    <w:rsid w:val="006A68A4"/>
    <w:pPr>
      <w:spacing w:after="0" w:line="240" w:lineRule="auto"/>
      <w:ind w:left="360"/>
    </w:pPr>
    <w:rPr>
      <w:rFonts w:ascii="Times New Roman" w:eastAsia="Times New Roman" w:hAnsi="Times New Roman" w:cs="Times New Roman"/>
      <w:sz w:val="24"/>
      <w:szCs w:val="24"/>
      <w:lang w:val="en-IN" w:eastAsia="en-IN" w:bidi="mr-IN"/>
    </w:rPr>
  </w:style>
  <w:style w:type="character" w:customStyle="1" w:styleId="BodyTextIndentChar">
    <w:name w:val="Body Text Indent Char"/>
    <w:basedOn w:val="DefaultParagraphFont"/>
    <w:link w:val="BodyTextIndent"/>
    <w:uiPriority w:val="99"/>
    <w:rsid w:val="006A68A4"/>
    <w:rPr>
      <w:rFonts w:ascii="Times New Roman" w:eastAsia="Times New Roman" w:hAnsi="Times New Roman" w:cs="Times New Roman"/>
      <w:sz w:val="24"/>
      <w:szCs w:val="24"/>
      <w:lang w:val="en-IN" w:eastAsia="en-IN" w:bidi="mr-IN"/>
    </w:rPr>
  </w:style>
  <w:style w:type="character" w:styleId="Hyperlink">
    <w:name w:val="Hyperlink"/>
    <w:basedOn w:val="DefaultParagraphFont"/>
    <w:uiPriority w:val="99"/>
    <w:unhideWhenUsed/>
    <w:rsid w:val="006A68A4"/>
    <w:rPr>
      <w:color w:val="0000FF" w:themeColor="hyperlink"/>
      <w:u w:val="single"/>
    </w:rPr>
  </w:style>
  <w:style w:type="paragraph" w:styleId="FootnoteText">
    <w:name w:val="footnote text"/>
    <w:basedOn w:val="Normal"/>
    <w:link w:val="FootnoteTextChar"/>
    <w:uiPriority w:val="99"/>
    <w:semiHidden/>
    <w:unhideWhenUsed/>
    <w:rsid w:val="006A68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A68A4"/>
    <w:rPr>
      <w:sz w:val="20"/>
      <w:szCs w:val="20"/>
    </w:rPr>
  </w:style>
  <w:style w:type="character" w:styleId="FootnoteReference">
    <w:name w:val="footnote reference"/>
    <w:basedOn w:val="DefaultParagraphFont"/>
    <w:uiPriority w:val="99"/>
    <w:semiHidden/>
    <w:unhideWhenUsed/>
    <w:rsid w:val="006A68A4"/>
    <w:rPr>
      <w:vertAlign w:val="superscript"/>
    </w:rPr>
  </w:style>
  <w:style w:type="paragraph" w:styleId="Header">
    <w:name w:val="header"/>
    <w:basedOn w:val="Normal"/>
    <w:link w:val="HeaderChar"/>
    <w:uiPriority w:val="99"/>
    <w:unhideWhenUsed/>
    <w:rsid w:val="00244E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4EAF"/>
  </w:style>
  <w:style w:type="paragraph" w:styleId="Footer">
    <w:name w:val="footer"/>
    <w:basedOn w:val="Normal"/>
    <w:link w:val="FooterChar"/>
    <w:uiPriority w:val="99"/>
    <w:unhideWhenUsed/>
    <w:rsid w:val="00244E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4EAF"/>
  </w:style>
  <w:style w:type="table" w:styleId="TableGrid">
    <w:name w:val="Table Grid"/>
    <w:basedOn w:val="TableNormal"/>
    <w:uiPriority w:val="59"/>
    <w:rsid w:val="00DB29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68A4"/>
  </w:style>
  <w:style w:type="paragraph" w:styleId="Heading1">
    <w:name w:val="heading 1"/>
    <w:basedOn w:val="Normal"/>
    <w:next w:val="Normal"/>
    <w:link w:val="Heading1Char"/>
    <w:uiPriority w:val="9"/>
    <w:qFormat/>
    <w:rsid w:val="006A68A4"/>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6A68A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68A4"/>
    <w:rPr>
      <w:rFonts w:asciiTheme="majorHAnsi" w:eastAsiaTheme="majorEastAsia" w:hAnsiTheme="majorHAnsi" w:cstheme="majorBidi"/>
      <w:b/>
      <w:bCs/>
      <w:color w:val="365F91" w:themeColor="accent1" w:themeShade="BF"/>
      <w:sz w:val="28"/>
      <w:szCs w:val="28"/>
      <w:lang w:bidi="en-US"/>
    </w:rPr>
  </w:style>
  <w:style w:type="character" w:customStyle="1" w:styleId="Heading2Char">
    <w:name w:val="Heading 2 Char"/>
    <w:basedOn w:val="DefaultParagraphFont"/>
    <w:link w:val="Heading2"/>
    <w:uiPriority w:val="9"/>
    <w:semiHidden/>
    <w:rsid w:val="006A68A4"/>
    <w:rPr>
      <w:rFonts w:asciiTheme="majorHAnsi" w:eastAsiaTheme="majorEastAsia" w:hAnsiTheme="majorHAnsi" w:cstheme="majorBidi"/>
      <w:b/>
      <w:bCs/>
      <w:color w:val="4F81BD" w:themeColor="accent1"/>
      <w:sz w:val="26"/>
      <w:szCs w:val="26"/>
    </w:rPr>
  </w:style>
  <w:style w:type="paragraph" w:styleId="NoSpacing">
    <w:name w:val="No Spacing"/>
    <w:link w:val="NoSpacingChar"/>
    <w:uiPriority w:val="1"/>
    <w:qFormat/>
    <w:rsid w:val="006A68A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6A68A4"/>
    <w:rPr>
      <w:rFonts w:eastAsiaTheme="minorEastAsia"/>
      <w:lang w:eastAsia="ja-JP"/>
    </w:rPr>
  </w:style>
  <w:style w:type="paragraph" w:styleId="BalloonText">
    <w:name w:val="Balloon Text"/>
    <w:basedOn w:val="Normal"/>
    <w:link w:val="BalloonTextChar"/>
    <w:uiPriority w:val="99"/>
    <w:semiHidden/>
    <w:unhideWhenUsed/>
    <w:rsid w:val="006A68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68A4"/>
    <w:rPr>
      <w:rFonts w:ascii="Tahoma" w:hAnsi="Tahoma" w:cs="Tahoma"/>
      <w:sz w:val="16"/>
      <w:szCs w:val="16"/>
    </w:rPr>
  </w:style>
  <w:style w:type="paragraph" w:styleId="ListParagraph">
    <w:name w:val="List Paragraph"/>
    <w:basedOn w:val="Normal"/>
    <w:uiPriority w:val="34"/>
    <w:qFormat/>
    <w:rsid w:val="006A68A4"/>
    <w:pPr>
      <w:ind w:left="720"/>
      <w:contextualSpacing/>
    </w:pPr>
    <w:rPr>
      <w:szCs w:val="28"/>
      <w:lang w:val="en-GB" w:bidi="bn-IN"/>
    </w:rPr>
  </w:style>
  <w:style w:type="paragraph" w:styleId="Bibliography">
    <w:name w:val="Bibliography"/>
    <w:basedOn w:val="Normal"/>
    <w:next w:val="Normal"/>
    <w:uiPriority w:val="37"/>
    <w:unhideWhenUsed/>
    <w:rsid w:val="006A68A4"/>
    <w:rPr>
      <w:lang w:val="en-IN"/>
    </w:rPr>
  </w:style>
  <w:style w:type="paragraph" w:styleId="BodyText">
    <w:name w:val="Body Text"/>
    <w:basedOn w:val="Normal"/>
    <w:link w:val="BodyTextChar"/>
    <w:uiPriority w:val="99"/>
    <w:unhideWhenUsed/>
    <w:rsid w:val="006A68A4"/>
    <w:pPr>
      <w:jc w:val="both"/>
    </w:pPr>
    <w:rPr>
      <w:lang w:val="en-IN"/>
    </w:rPr>
  </w:style>
  <w:style w:type="character" w:customStyle="1" w:styleId="BodyTextChar">
    <w:name w:val="Body Text Char"/>
    <w:basedOn w:val="DefaultParagraphFont"/>
    <w:link w:val="BodyText"/>
    <w:uiPriority w:val="99"/>
    <w:rsid w:val="006A68A4"/>
    <w:rPr>
      <w:lang w:val="en-IN"/>
    </w:rPr>
  </w:style>
  <w:style w:type="paragraph" w:styleId="NormalWeb">
    <w:name w:val="Normal (Web)"/>
    <w:basedOn w:val="Normal"/>
    <w:uiPriority w:val="99"/>
    <w:semiHidden/>
    <w:unhideWhenUsed/>
    <w:rsid w:val="006A68A4"/>
    <w:pPr>
      <w:spacing w:before="100" w:beforeAutospacing="1" w:after="100" w:afterAutospacing="1" w:line="240" w:lineRule="auto"/>
    </w:pPr>
    <w:rPr>
      <w:rFonts w:ascii="Times New Roman" w:eastAsia="Times New Roman" w:hAnsi="Times New Roman" w:cs="Times New Roman"/>
      <w:sz w:val="24"/>
      <w:szCs w:val="24"/>
      <w:lang w:val="en-IN" w:eastAsia="en-IN" w:bidi="mr-IN"/>
    </w:rPr>
  </w:style>
  <w:style w:type="character" w:customStyle="1" w:styleId="EndnoteTextChar">
    <w:name w:val="Endnote Text Char"/>
    <w:basedOn w:val="DefaultParagraphFont"/>
    <w:link w:val="EndnoteText"/>
    <w:uiPriority w:val="99"/>
    <w:semiHidden/>
    <w:rsid w:val="006A68A4"/>
    <w:rPr>
      <w:sz w:val="20"/>
      <w:szCs w:val="20"/>
      <w:lang w:val="en-IN"/>
    </w:rPr>
  </w:style>
  <w:style w:type="paragraph" w:styleId="EndnoteText">
    <w:name w:val="endnote text"/>
    <w:basedOn w:val="Normal"/>
    <w:link w:val="EndnoteTextChar"/>
    <w:uiPriority w:val="99"/>
    <w:semiHidden/>
    <w:unhideWhenUsed/>
    <w:rsid w:val="006A68A4"/>
    <w:pPr>
      <w:spacing w:after="0" w:line="240" w:lineRule="auto"/>
    </w:pPr>
    <w:rPr>
      <w:sz w:val="20"/>
      <w:szCs w:val="20"/>
      <w:lang w:val="en-IN"/>
    </w:rPr>
  </w:style>
  <w:style w:type="paragraph" w:styleId="BodyTextIndent">
    <w:name w:val="Body Text Indent"/>
    <w:basedOn w:val="Normal"/>
    <w:link w:val="BodyTextIndentChar"/>
    <w:uiPriority w:val="99"/>
    <w:unhideWhenUsed/>
    <w:rsid w:val="006A68A4"/>
    <w:pPr>
      <w:spacing w:after="0" w:line="240" w:lineRule="auto"/>
      <w:ind w:left="360"/>
    </w:pPr>
    <w:rPr>
      <w:rFonts w:ascii="Times New Roman" w:eastAsia="Times New Roman" w:hAnsi="Times New Roman" w:cs="Times New Roman"/>
      <w:sz w:val="24"/>
      <w:szCs w:val="24"/>
      <w:lang w:val="en-IN" w:eastAsia="en-IN" w:bidi="mr-IN"/>
    </w:rPr>
  </w:style>
  <w:style w:type="character" w:customStyle="1" w:styleId="BodyTextIndentChar">
    <w:name w:val="Body Text Indent Char"/>
    <w:basedOn w:val="DefaultParagraphFont"/>
    <w:link w:val="BodyTextIndent"/>
    <w:uiPriority w:val="99"/>
    <w:rsid w:val="006A68A4"/>
    <w:rPr>
      <w:rFonts w:ascii="Times New Roman" w:eastAsia="Times New Roman" w:hAnsi="Times New Roman" w:cs="Times New Roman"/>
      <w:sz w:val="24"/>
      <w:szCs w:val="24"/>
      <w:lang w:val="en-IN" w:eastAsia="en-IN" w:bidi="mr-IN"/>
    </w:rPr>
  </w:style>
  <w:style w:type="character" w:styleId="Hyperlink">
    <w:name w:val="Hyperlink"/>
    <w:basedOn w:val="DefaultParagraphFont"/>
    <w:uiPriority w:val="99"/>
    <w:unhideWhenUsed/>
    <w:rsid w:val="006A68A4"/>
    <w:rPr>
      <w:color w:val="0000FF" w:themeColor="hyperlink"/>
      <w:u w:val="single"/>
    </w:rPr>
  </w:style>
  <w:style w:type="paragraph" w:styleId="FootnoteText">
    <w:name w:val="footnote text"/>
    <w:basedOn w:val="Normal"/>
    <w:link w:val="FootnoteTextChar"/>
    <w:uiPriority w:val="99"/>
    <w:semiHidden/>
    <w:unhideWhenUsed/>
    <w:rsid w:val="006A68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A68A4"/>
    <w:rPr>
      <w:sz w:val="20"/>
      <w:szCs w:val="20"/>
    </w:rPr>
  </w:style>
  <w:style w:type="character" w:styleId="FootnoteReference">
    <w:name w:val="footnote reference"/>
    <w:basedOn w:val="DefaultParagraphFont"/>
    <w:uiPriority w:val="99"/>
    <w:semiHidden/>
    <w:unhideWhenUsed/>
    <w:rsid w:val="006A68A4"/>
    <w:rPr>
      <w:vertAlign w:val="superscript"/>
    </w:rPr>
  </w:style>
  <w:style w:type="paragraph" w:styleId="Header">
    <w:name w:val="header"/>
    <w:basedOn w:val="Normal"/>
    <w:link w:val="HeaderChar"/>
    <w:uiPriority w:val="99"/>
    <w:unhideWhenUsed/>
    <w:rsid w:val="00244E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4EAF"/>
  </w:style>
  <w:style w:type="paragraph" w:styleId="Footer">
    <w:name w:val="footer"/>
    <w:basedOn w:val="Normal"/>
    <w:link w:val="FooterChar"/>
    <w:uiPriority w:val="99"/>
    <w:unhideWhenUsed/>
    <w:rsid w:val="00244E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4EAF"/>
  </w:style>
  <w:style w:type="table" w:styleId="TableGrid">
    <w:name w:val="Table Grid"/>
    <w:basedOn w:val="TableNormal"/>
    <w:uiPriority w:val="59"/>
    <w:rsid w:val="00DB29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sdindia.org/Downloads/Report%20of%20the%20Social%20Audit%20of%20ICDS%20in%20Berhampur,%20Odisha.pdf" TargetMode="Externa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chart" Target="charts/chart1.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em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rotX val="30"/>
      <c:perspective val="30"/>
    </c:view3D>
    <c:plotArea>
      <c:layout/>
      <c:pie3DChart>
        <c:varyColors val="1"/>
        <c:ser>
          <c:idx val="0"/>
          <c:order val="0"/>
          <c:dLbls>
            <c:dLbl>
              <c:idx val="0"/>
              <c:tx>
                <c:rich>
                  <a:bodyPr/>
                  <a:lstStyle/>
                  <a:p>
                    <a:r>
                      <a:rPr lang="en-US"/>
                      <a:t>Doctors Fees, 27.31%</a:t>
                    </a:r>
                  </a:p>
                </c:rich>
              </c:tx>
              <c:showVal val="1"/>
              <c:showCatName val="1"/>
            </c:dLbl>
            <c:dLbl>
              <c:idx val="1"/>
              <c:layout>
                <c:manualLayout>
                  <c:x val="-0.22626093613298448"/>
                  <c:y val="-0.23907979786108804"/>
                </c:manualLayout>
              </c:layout>
              <c:tx>
                <c:rich>
                  <a:bodyPr/>
                  <a:lstStyle/>
                  <a:p>
                    <a:r>
                      <a:rPr lang="en-US"/>
                      <a:t>Bed and other services, 16.56%</a:t>
                    </a:r>
                  </a:p>
                </c:rich>
              </c:tx>
              <c:showVal val="1"/>
              <c:showCatName val="1"/>
            </c:dLbl>
            <c:dLbl>
              <c:idx val="2"/>
              <c:layout>
                <c:manualLayout>
                  <c:x val="-1.716404199475071E-2"/>
                  <c:y val="-0.31988225430154738"/>
                </c:manualLayout>
              </c:layout>
              <c:tx>
                <c:rich>
                  <a:bodyPr/>
                  <a:lstStyle/>
                  <a:p>
                    <a:r>
                      <a:rPr lang="en-US"/>
                      <a:t>Diagnostic tests, 10.84%</a:t>
                    </a:r>
                  </a:p>
                </c:rich>
              </c:tx>
              <c:showVal val="1"/>
              <c:showCatName val="1"/>
            </c:dLbl>
            <c:dLbl>
              <c:idx val="3"/>
              <c:layout>
                <c:manualLayout>
                  <c:x val="0.18508333333333363"/>
                  <c:y val="-4.3011321346025914E-2"/>
                </c:manualLayout>
              </c:layout>
              <c:tx>
                <c:rich>
                  <a:bodyPr/>
                  <a:lstStyle/>
                  <a:p>
                    <a:r>
                      <a:rPr lang="en-US"/>
                      <a:t>Drugs, 37.77%</a:t>
                    </a:r>
                  </a:p>
                </c:rich>
              </c:tx>
              <c:showVal val="1"/>
              <c:showCatName val="1"/>
            </c:dLbl>
            <c:dLbl>
              <c:idx val="4"/>
              <c:tx>
                <c:rich>
                  <a:bodyPr/>
                  <a:lstStyle/>
                  <a:p>
                    <a:r>
                      <a:rPr lang="en-US"/>
                      <a:t>Blood and other supplies, 4.43%</a:t>
                    </a:r>
                  </a:p>
                </c:rich>
              </c:tx>
              <c:showVal val="1"/>
              <c:showCatName val="1"/>
            </c:dLbl>
            <c:dLbl>
              <c:idx val="5"/>
              <c:layout>
                <c:manualLayout>
                  <c:x val="0.16397484689413824"/>
                  <c:y val="-6.1876052806832012E-2"/>
                </c:manualLayout>
              </c:layout>
              <c:tx>
                <c:rich>
                  <a:bodyPr/>
                  <a:lstStyle/>
                  <a:p>
                    <a:r>
                      <a:rPr lang="en-US"/>
                      <a:t>Food</a:t>
                    </a:r>
                    <a:r>
                      <a:rPr lang="en-US" baseline="0"/>
                      <a:t> 3.09%</a:t>
                    </a:r>
                    <a:endParaRPr lang="en-US"/>
                  </a:p>
                </c:rich>
              </c:tx>
              <c:showVal val="1"/>
              <c:showCatName val="1"/>
            </c:dLbl>
            <c:txPr>
              <a:bodyPr/>
              <a:lstStyle/>
              <a:p>
                <a:pPr>
                  <a:defRPr b="1"/>
                </a:pPr>
                <a:endParaRPr lang="en-US"/>
              </a:p>
            </c:txPr>
            <c:showVal val="1"/>
            <c:showCatName val="1"/>
            <c:showLeaderLines val="1"/>
          </c:dLbls>
          <c:cat>
            <c:strRef>
              <c:f>Sheet1!$B$4:$B$9</c:f>
              <c:strCache>
                <c:ptCount val="6"/>
                <c:pt idx="0">
                  <c:v>Doctors Fees </c:v>
                </c:pt>
                <c:pt idx="1">
                  <c:v>Bed and other services </c:v>
                </c:pt>
                <c:pt idx="2">
                  <c:v>Diagnostic tests</c:v>
                </c:pt>
                <c:pt idx="3">
                  <c:v>Drugs </c:v>
                </c:pt>
                <c:pt idx="4">
                  <c:v>Blood and other supplies </c:v>
                </c:pt>
                <c:pt idx="5">
                  <c:v>Food </c:v>
                </c:pt>
              </c:strCache>
            </c:strRef>
          </c:cat>
          <c:val>
            <c:numRef>
              <c:f>Sheet1!$C$4:$C$9</c:f>
              <c:numCache>
                <c:formatCode>General</c:formatCode>
                <c:ptCount val="6"/>
                <c:pt idx="0">
                  <c:v>27.310000000000031</c:v>
                </c:pt>
                <c:pt idx="1">
                  <c:v>16.559999999999999</c:v>
                </c:pt>
                <c:pt idx="2">
                  <c:v>10.84</c:v>
                </c:pt>
                <c:pt idx="3">
                  <c:v>37.770000000000003</c:v>
                </c:pt>
                <c:pt idx="4">
                  <c:v>4.4300000000000024</c:v>
                </c:pt>
                <c:pt idx="5">
                  <c:v>3.09</c:v>
                </c:pt>
              </c:numCache>
            </c:numRef>
          </c:val>
        </c:ser>
      </c:pie3DChart>
    </c:plotArea>
    <c:plotVisOnly val="1"/>
    <c:dispBlanksAs val="zero"/>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BDBB494B03447868A647FDCE599AC7D"/>
        <w:category>
          <w:name w:val="General"/>
          <w:gallery w:val="placeholder"/>
        </w:category>
        <w:types>
          <w:type w:val="bbPlcHdr"/>
        </w:types>
        <w:behaviors>
          <w:behavior w:val="content"/>
        </w:behaviors>
        <w:guid w:val="{C83D9342-0821-4E50-920D-7ED2390BDA83}"/>
      </w:docPartPr>
      <w:docPartBody>
        <w:p w:rsidR="00F05D99" w:rsidRDefault="00F05D99" w:rsidP="00F05D99">
          <w:pPr>
            <w:pStyle w:val="CBDBB494B03447868A647FDCE599AC7D"/>
          </w:pPr>
          <w:r>
            <w:rPr>
              <w:rFonts w:asciiTheme="majorHAnsi" w:eastAsiaTheme="majorEastAsia" w:hAnsiTheme="majorHAnsi" w:cstheme="majorBidi"/>
              <w:sz w:val="72"/>
              <w:szCs w:val="7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Bold">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Roman">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F05D99"/>
    <w:rsid w:val="00533B50"/>
    <w:rsid w:val="00F05D9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B5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BDBB494B03447868A647FDCE599AC7D">
    <w:name w:val="CBDBB494B03447868A647FDCE599AC7D"/>
    <w:rsid w:val="00F05D99"/>
  </w:style>
  <w:style w:type="paragraph" w:customStyle="1" w:styleId="4BF24DDA965D4765BDE75E17D21C530C">
    <w:name w:val="4BF24DDA965D4765BDE75E17D21C530C"/>
    <w:rsid w:val="00F05D99"/>
  </w:style>
  <w:style w:type="paragraph" w:customStyle="1" w:styleId="B65F8515B662429EA1D7ABEA778BC8EC">
    <w:name w:val="B65F8515B662429EA1D7ABEA778BC8EC"/>
    <w:rsid w:val="00F05D99"/>
  </w:style>
  <w:style w:type="paragraph" w:customStyle="1" w:styleId="5CEC8140BD9E4647871042161D7A6F04">
    <w:name w:val="5CEC8140BD9E4647871042161D7A6F04"/>
    <w:rsid w:val="00F05D99"/>
  </w:style>
  <w:style w:type="paragraph" w:customStyle="1" w:styleId="5F10B6CE6C204888BDDED01057EF2CBA">
    <w:name w:val="5F10B6CE6C204888BDDED01057EF2CBA"/>
    <w:rsid w:val="00F05D99"/>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XII12</b:Tag>
    <b:SourceType>Report</b:SourceType>
    <b:Guid>{B83F7290-7345-43B2-8C46-2032EE63CF90}</b:Guid>
    <b:Author>
      <b:Author>
        <b:Corporate>XIIth Plan</b:Corporate>
      </b:Author>
    </b:Author>
    <b:Title>Report of the Steering Committee on Health:XIIth Five Year Plan</b:Title>
    <b:Year>2012</b:Year>
    <b:Publisher>Health Division, Planning Commission, Government of India</b:Publisher>
    <b:City>New Delhi</b:City>
    <b:RefOrder>1</b:RefOrder>
  </b:Source>
  <b:Source>
    <b:Tag>Pla11</b:Tag>
    <b:SourceType>Report</b:SourceType>
    <b:Guid>{92ED6B78-792F-45BC-8757-9A10B8F3CA38}</b:Guid>
    <b:Author>
      <b:Author>
        <b:Corporate>WG NRHM,XII FYP</b:Corporate>
      </b:Author>
    </b:Author>
    <b:Title>Report of the Working Group on National Rural Health Mission(NRHM) for the tweflth Five Year Plan (2012-2-17)</b:Title>
    <b:Year>2011</b:Year>
    <b:Publisher>Planning Commission, Government of India</b:Publisher>
    <b:City>New Delhi</b:City>
    <b:RefOrder>2</b:RefOrder>
  </b:Source>
  <b:Source>
    <b:Tag>MoH12</b:Tag>
    <b:SourceType>Report</b:SourceType>
    <b:Guid>{3725365F-E5D2-4C2B-B53A-183C43CB0FB5}</b:Guid>
    <b:Author>
      <b:Author>
        <b:NameList>
          <b:Person>
            <b:Last>NUHM</b:Last>
          </b:Person>
        </b:NameList>
      </b:Author>
    </b:Author>
    <b:Title>National Urban Health Mission, Framework for Implementation</b:Title>
    <b:Year>2012</b:Year>
    <b:Publisher>Ministry of Health and Family Welfare, Government of India</b:Publisher>
    <b:City>New Delhi</b:City>
    <b:RefOrder>3</b:RefOrder>
  </b:Source>
  <b:Source>
    <b:Tag>MoH02</b:Tag>
    <b:SourceType>Report</b:SourceType>
    <b:Guid>{25F338A0-08AD-43F3-833A-1D7CE67D3C7C}</b:Guid>
    <b:Author>
      <b:Author>
        <b:Corporate>NHP</b:Corporate>
      </b:Author>
    </b:Author>
    <b:Title>National Health Policy</b:Title>
    <b:Year>2002</b:Year>
    <b:Publisher>Ministry of Health and Family Welfare</b:Publisher>
    <b:City>New Delhi</b:City>
    <b:RefOrder>4</b:RefOrder>
  </b:Source>
  <b:Source>
    <b:Tag>GoI052</b:Tag>
    <b:SourceType>Report</b:SourceType>
    <b:Guid>{19C31213-7BC0-4865-9C7F-0808754129E9}</b:Guid>
    <b:Author>
      <b:Author>
        <b:NameList>
          <b:Person>
            <b:Last>NRHM</b:Last>
          </b:Person>
        </b:NameList>
      </b:Author>
    </b:Author>
    <b:Title>Mission Document,National Rural Health Mission</b:Title>
    <b:Year>2005</b:Year>
    <b:Publisher>Ministry of Health and Family Welfare, Government of India</b:Publisher>
    <b:City>New Delhi</b:City>
    <b:RefOrder>5</b:RefOrder>
  </b:Source>
  <b:Source>
    <b:Tag>Pla111</b:Tag>
    <b:SourceType>Report</b:SourceType>
    <b:Guid>{3EC9E3E8-1BB5-4270-9342-27192FF37518}</b:Guid>
    <b:Author>
      <b:Author>
        <b:Corporate>WG Tertiary care XIIth FYP</b:Corporate>
      </b:Author>
    </b:Author>
    <b:Title>Report of the Working Group on Tertiary Care Institutions for the 12th Five Year Plan</b:Title>
    <b:Year>2011</b:Year>
    <b:Publisher>Planning Commission</b:Publisher>
    <b:City>New Delhi</b:City>
    <b:RefOrder>6</b:RefOrder>
  </b:Source>
  <b:Source>
    <b:Tag>HLE11</b:Tag>
    <b:SourceType>Report</b:SourceType>
    <b:Guid>{051E300E-858F-4974-A506-EC4CF9065F89}</b:Guid>
    <b:Author>
      <b:Author>
        <b:Corporate>HLEG Report on UHC</b:Corporate>
      </b:Author>
    </b:Author>
    <b:Title>High Level Expert Group Report on Universal Health Coverage for India</b:Title>
    <b:Year>2011</b:Year>
    <b:Publisher>Planning Commission</b:Publisher>
    <b:City>New Delhi</b:City>
    <b:RefOrder>7</b:RefOrder>
  </b:Source>
  <b:Source>
    <b:Tag>PHR10</b:Tag>
    <b:SourceType>Book</b:SourceType>
    <b:Guid>{C1FDB8D6-E7D5-4351-8842-30B5A8975197}</b:Guid>
    <b:Author>
      <b:Author>
        <b:NameList>
          <b:Person>
            <b:Last>PHRN</b:Last>
          </b:Person>
        </b:NameList>
      </b:Author>
    </b:Author>
    <b:Title>Public Health Resource Network:Issues in Public Health, Book 16</b:Title>
    <b:Year>2010</b:Year>
    <b:City>Delhi</b:City>
    <b:Publisher>Capital Printers</b:Publisher>
    <b:RefOrder>1</b:RefOrder>
  </b:Source>
  <b:Source>
    <b:Tag>Rah10</b:Tag>
    <b:SourceType>ArticleInAPeriodical</b:SourceType>
    <b:Guid>{6CAFA1FC-ED5A-4427-9F0F-70B5ACF1EA55}</b:Guid>
    <b:Author>
      <b:Author>
        <b:NameList>
          <b:Person>
            <b:Last>Raha</b:Last>
            <b:First>Shomikho</b:First>
          </b:Person>
        </b:NameList>
      </b:Author>
    </b:Author>
    <b:Title>Institutional Arrangements in providing Urban Health Services:Current Context and the possible way forward</b:Title>
    <b:Year>2010</b:Year>
    <b:PeriodicalTitle>India Health Beat:Supporting Evidence-based Policies and Implementation</b:PeriodicalTitle>
    <b:Month>December</b:Month>
    <b:City>New Delhi</b:City>
    <b:Publisher>Public Health Foundation of India, The  World Bank</b:Publisher>
    <b:Volume>4</b:Volume>
    <b:Issue>3</b:Issue>
    <b:RefOrder>2</b:RefOrder>
  </b:Source>
  <b:Source>
    <b:Tag>NFH072</b:Tag>
    <b:SourceType>Report</b:SourceType>
    <b:Guid>{BE386482-8535-4B16-8161-8DF859D668C3}</b:Guid>
    <b:Author>
      <b:Author>
        <b:NameList>
          <b:Person>
            <b:Last>NFHS-3</b:Last>
          </b:Person>
        </b:NameList>
      </b:Author>
    </b:Author>
    <b:Title>National Family Health Survey (NFHS-3), Volume I, 2005-2006</b:Title>
    <b:Year>2007</b:Year>
    <b:Publisher>Indian Institute of Population Sciences (IIPS) and Macro International</b:Publisher>
    <b:City>Mumbai, India</b:City>
    <b:RefOrder>3</b:RefOrder>
  </b:Source>
  <b:Source>
    <b:Tag>Mor10</b:Tag>
    <b:SourceType>ArticleInAPeriodical</b:SourceType>
    <b:Guid>{C46714EC-FECA-4D48-9739-0BCC01F4F296}</b:Guid>
    <b:Author>
      <b:Author>
        <b:NameList>
          <b:Person>
            <b:Last>More</b:Last>
            <b:First>Neena</b:First>
            <b:Middle>Shah</b:Middle>
          </b:Person>
          <b:Person>
            <b:Last>Das</b:Last>
            <b:First>Sushmita</b:First>
          </b:Person>
          <b:Person>
            <b:Last>Bapat</b:Last>
            <b:First>Ujjwala</b:First>
          </b:Person>
          <b:Person>
            <b:Last>Choredekar</b:Last>
            <b:First>Latika</b:First>
          </b:Person>
          <b:Person>
            <b:Last>Alcock</b:Last>
            <b:First>Glyn</b:First>
          </b:Person>
          <b:Person>
            <b:Last>Joshi</b:Last>
            <b:First>Wasundhara</b:First>
          </b:Person>
          <b:Person>
            <b:Last>Osrin</b:Last>
            <b:First>David</b:First>
          </b:Person>
        </b:NameList>
      </b:Author>
    </b:Author>
    <b:Title>Maternal and Newborn Health:Dynamics of seeking healthcare within Mumbai slums</b:Title>
    <b:PeriodicalTitle>India Health Beat:Supporting Evidence based Policies and Implementation</b:PeriodicalTitle>
    <b:Year>2010</b:Year>
    <b:Month>December</b:Month>
    <b:Volume>4</b:Volume>
    <b:Issue>7</b:Issue>
    <b:RefOrder>4</b:RefOrder>
  </b:Source>
  <b:Source>
    <b:Tag>Gup101</b:Tag>
    <b:SourceType>ArticleInAPeriodical</b:SourceType>
    <b:Guid>{AAEF29DD-33A6-429B-84E8-DE3C50ED702C}</b:Guid>
    <b:Author>
      <b:Author>
        <b:NameList>
          <b:Person>
            <b:Last>Gupta</b:Last>
            <b:First>Swati</b:First>
          </b:Person>
        </b:NameList>
      </b:Author>
    </b:Author>
    <b:Title>Health Policy Challenges for Urbanizing India</b:Title>
    <b:Year>2010</b:Year>
    <b:PeriodicalTitle>India Health Beat:Supporting Evidence Based Policies and Implementation</b:PeriodicalTitle>
    <b:Month>December</b:Month>
    <b:Volume>4</b:Volume>
    <b:Issue>8</b:Issue>
    <b:RefOrder>5</b:RefOrder>
  </b:Source>
  <b:Source>
    <b:Tag>Cha101</b:Tag>
    <b:SourceType>ArticleInAPeriodical</b:SourceType>
    <b:Guid>{032B9756-DC7A-4B3E-9009-B86094AD728B}</b:Guid>
    <b:Author>
      <b:Author>
        <b:NameList>
          <b:Person>
            <b:Last>Chatterjee</b:Last>
            <b:First>Meera</b:First>
          </b:Person>
        </b:NameList>
      </b:Author>
    </b:Author>
    <b:Title>Urban Health:Policy and Polity</b:Title>
    <b:PeriodicalTitle>India Health Beat:Supporting Evidence-based Policies and Implementation</b:PeriodicalTitle>
    <b:Year>2010</b:Year>
    <b:Month>December</b:Month>
    <b:Publisher>Public Health Foundation of India, The World Bank</b:Publisher>
    <b:RefOrder>6</b:RefOrder>
  </b:Source>
  <b:Source>
    <b:Tag>NHR</b:Tag>
    <b:SourceType>Report</b:SourceType>
    <b:Guid>{93F2590D-F537-4BF4-8639-A7EE61A25D96}</b:Guid>
    <b:Author>
      <b:Author>
        <b:NameList>
          <b:Person>
            <b:Last>NHRC</b:Last>
          </b:Person>
        </b:NameList>
      </b:Author>
    </b:Author>
    <b:Title>Recommendations for Urban Health Services in India</b:Title>
    <b:Publisher>New Delhi</b:Publisher>
    <b:City>Government of India</b:City>
    <b:RefOrder>7</b:RefOrder>
  </b:Source>
  <b:Source>
    <b:Tag>Das103</b:Tag>
    <b:SourceType>Misc</b:SourceType>
    <b:Guid>{D1D36DAE-596B-48D7-8D24-A1A74171CEC0}</b:Guid>
    <b:Author>
      <b:Author>
        <b:NameList>
          <b:Person>
            <b:Last>Dasgupta</b:Last>
            <b:First>Rajib</b:First>
          </b:Person>
        </b:NameList>
      </b:Author>
    </b:Author>
    <b:Title>Ahmedabad and Surat:Urban Health Services</b:Title>
    <b:Year>2010</b:Year>
    <b:Publisher>Unpublished work</b:Publisher>
    <b:City>New Delhi</b:City>
    <b:RefOrder>8</b:RefOrder>
  </b:Source>
  <b:Source>
    <b:Tag>Das102</b:Tag>
    <b:SourceType>ArticleInAPeriodical</b:SourceType>
    <b:Guid>{D0F9343C-F28A-48BE-8908-7B82A1CAFFF2}</b:Guid>
    <b:Author>
      <b:Author>
        <b:NameList>
          <b:Person>
            <b:Last>Dasgupta</b:Last>
            <b:First>Rajib</b:First>
          </b:Person>
        </b:NameList>
      </b:Author>
    </b:Author>
    <b:Title>Public Health in Urban India:Lessons from Surat</b:Title>
    <b:PeriodicalTitle>India Health Beat:Supporting Evidence-based Policies and Implementation</b:PeriodicalTitle>
    <b:Year>2010</b:Year>
    <b:Month>December</b:Month>
    <b:Volume>4</b:Volume>
    <b:Issue>5</b:Issue>
    <b:RefOrder>9</b:RefOrder>
  </b:Source>
  <b:Source>
    <b:Tag>Cha10</b:Tag>
    <b:SourceType>ArticleInAPeriodical</b:SourceType>
    <b:Guid>{C52CCE97-7699-4B5F-8B7C-BEBE2EFB3D5D}</b:Guid>
    <b:Author>
      <b:Author>
        <b:NameList>
          <b:Person>
            <b:Last>Chatterjee</b:Last>
            <b:First>Meera</b:First>
          </b:Person>
        </b:NameList>
      </b:Author>
    </b:Author>
    <b:Title>McKinsey's Urban Governance and Planning:Relevance to Health</b:Title>
    <b:PeriodicalTitle>India Health Beat:Supporting Evidence-based Policies and Planning</b:PeriodicalTitle>
    <b:Year>2010</b:Year>
    <b:Month>December</b:Month>
    <b:Publisher>Public Health Foundation of India, The World Bank</b:Publisher>
    <b:Volume>4</b:Volume>
    <b:Issue>2</b:Issue>
    <b:City>New Delhi</b:City>
    <b:RefOrder>10</b:RefOrder>
  </b:Source>
  <b:Source>
    <b:Tag>Vai09</b:Tag>
    <b:SourceType>Report</b:SourceType>
    <b:Guid>{7AB2CCEE-7E13-4B13-8738-4757EB3B0D3C}</b:Guid>
    <b:Author>
      <b:Author>
        <b:NameList>
          <b:Person>
            <b:Last>Vaidya</b:Last>
            <b:First>Chetan</b:First>
          </b:Person>
        </b:NameList>
      </b:Author>
    </b:Author>
    <b:Title>Urban Issues, Reforms and the Way Forward in India</b:Title>
    <b:Year>2009</b:Year>
    <b:Publisher>Department of Economic Affairs, Ministry of Finance, Government of India</b:Publisher>
    <b:City>New Delhi</b:City>
    <b:RefOrder>11</b:RefOrder>
  </b:Source>
  <b:Source>
    <b:Tag>Das10</b:Tag>
    <b:SourceType>ArticleInAPeriodical</b:SourceType>
    <b:Guid>{F6E33F51-23B3-4862-A9C9-EFB7336683A4}</b:Guid>
    <b:Author>
      <b:Author>
        <b:NameList>
          <b:Person>
            <b:Last>Das Gupta</b:Last>
            <b:First>Monica</b:First>
          </b:Person>
        </b:NameList>
      </b:Author>
    </b:Author>
    <b:Title>Strengthening Public Health in Urban India:The Role of The National Urban Health Mission</b:Title>
    <b:Year>2010</b:Year>
    <b:PeriodicalTitle>India Health Beat:Supporting Evidence Based Policies and Implementation</b:PeriodicalTitle>
    <b:Month>December</b:Month>
    <b:Volume>4</b:Volume>
    <b:Issue>4</b:Issue>
    <b:City>New Delhi</b:City>
    <b:Publisher>Public Health Foundation of India, The World Bank</b:Publisher>
    <b:RefOrder>12</b:RefOrder>
  </b:Source>
  <b:Source>
    <b:Tag>Das101</b:Tag>
    <b:SourceType>ArticleInAPeriodical</b:SourceType>
    <b:Guid>{C3D65170-F99C-474D-9ADC-85B4E4B9D2FB}</b:Guid>
    <b:Author>
      <b:Author>
        <b:NameList>
          <b:Person>
            <b:Last>Das Gupta</b:Last>
            <b:First>Monica</b:First>
          </b:Person>
          <b:Person>
            <b:Last>Desikachari</b:Last>
            <b:First>B</b:First>
            <b:Middle>R</b:Middle>
          </b:Person>
          <b:Person>
            <b:Last>Shukla</b:Last>
            <b:First>Rajendra</b:First>
          </b:Person>
          <b:Person>
            <b:Last>Somanathan</b:Last>
            <b:First>T</b:First>
            <b:Middle>V</b:Middle>
          </b:Person>
          <b:Person>
            <b:Last>Padmanaban</b:Last>
            <b:First>T</b:First>
          </b:Person>
          <b:Person>
            <b:Last>Datta</b:Last>
            <b:First>K</b:First>
            <b:Middle>K</b:Middle>
          </b:Person>
        </b:NameList>
      </b:Author>
    </b:Author>
    <b:Title>How might India's Public Health Systems be strengthened:Lessons from Tamilnadu</b:Title>
    <b:PeriodicalTitle>Economic and Political Weekly</b:PeriodicalTitle>
    <b:Year>2010</b:Year>
    <b:Month>March</b:Month>
    <b:Day>6th</b:Day>
    <b:Pages>46-60</b:Pages>
    <b:Volume>XLV</b:Volume>
    <b:Issue>10</b:Issue>
    <b:RefOrder>13</b:RefOrder>
  </b:Source>
</b:Sources>
</file>

<file path=customXml/itemProps1.xml><?xml version="1.0" encoding="utf-8"?>
<ds:datastoreItem xmlns:ds="http://schemas.openxmlformats.org/officeDocument/2006/customXml" ds:itemID="{41D3A5C5-3888-4F4C-BCE5-FDE3D044F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76</Pages>
  <Words>26438</Words>
  <Characters>150700</Characters>
  <Application>Microsoft Office Word</Application>
  <DocSecurity>0</DocSecurity>
  <Lines>1255</Lines>
  <Paragraphs>353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Urban Health</dc:title>
  <dc:subject>An Analysis of Secondary Literature and Data</dc:subject>
  <dc:creator/>
  <cp:lastModifiedBy>Abha</cp:lastModifiedBy>
  <cp:revision>4</cp:revision>
  <dcterms:created xsi:type="dcterms:W3CDTF">2013-12-16T12:47:00Z</dcterms:created>
  <dcterms:modified xsi:type="dcterms:W3CDTF">2013-12-20T09:29:00Z</dcterms:modified>
</cp:coreProperties>
</file>